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61E8" w14:textId="77777777" w:rsidR="003217DC" w:rsidRDefault="003217DC" w:rsidP="003217D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5766C51" w14:textId="50B9BAA2" w:rsidR="00CE76F1" w:rsidRDefault="00CE76F1" w:rsidP="00CE76F1">
      <w:pPr>
        <w:pStyle w:val="Cabealho"/>
        <w:ind w:left="-567"/>
        <w:jc w:val="center"/>
        <w:rPr>
          <w:b/>
          <w:i/>
          <w:sz w:val="24"/>
        </w:rPr>
      </w:pPr>
      <w:r>
        <w:rPr>
          <w:b/>
          <w:i/>
          <w:sz w:val="24"/>
        </w:rPr>
        <w:t>Informações Q</w:t>
      </w:r>
      <w:r w:rsidRPr="003217DC">
        <w:rPr>
          <w:b/>
          <w:i/>
          <w:sz w:val="24"/>
        </w:rPr>
        <w:t xml:space="preserve">uantitativas </w:t>
      </w:r>
      <w:r>
        <w:rPr>
          <w:b/>
          <w:i/>
          <w:sz w:val="24"/>
        </w:rPr>
        <w:t>Chamada EMBRAPII 0</w:t>
      </w:r>
      <w:r w:rsidR="0001604F">
        <w:rPr>
          <w:b/>
          <w:i/>
          <w:sz w:val="24"/>
        </w:rPr>
        <w:t>2</w:t>
      </w:r>
      <w:r>
        <w:rPr>
          <w:b/>
          <w:i/>
          <w:sz w:val="24"/>
        </w:rPr>
        <w:t>/2020</w:t>
      </w:r>
    </w:p>
    <w:p w14:paraId="08607446" w14:textId="23B803CC" w:rsidR="00CE76F1" w:rsidRDefault="00CE76F1" w:rsidP="00CE76F1">
      <w:pPr>
        <w:pStyle w:val="Cabealho"/>
        <w:ind w:left="-567"/>
        <w:jc w:val="center"/>
        <w:rPr>
          <w:b/>
          <w:i/>
          <w:sz w:val="24"/>
        </w:rPr>
      </w:pPr>
      <w:r w:rsidRPr="003217DC">
        <w:rPr>
          <w:b/>
          <w:i/>
          <w:sz w:val="24"/>
        </w:rPr>
        <w:t xml:space="preserve">instruções </w:t>
      </w:r>
      <w:r>
        <w:rPr>
          <w:b/>
          <w:i/>
          <w:sz w:val="24"/>
        </w:rPr>
        <w:t>para</w:t>
      </w:r>
      <w:r w:rsidRPr="003217DC">
        <w:rPr>
          <w:b/>
          <w:i/>
          <w:sz w:val="24"/>
        </w:rPr>
        <w:t xml:space="preserve"> preenchimento</w:t>
      </w:r>
    </w:p>
    <w:p w14:paraId="3B292249" w14:textId="77777777" w:rsidR="00CE76F1" w:rsidRDefault="00CE76F1" w:rsidP="00CE76F1">
      <w:pPr>
        <w:pStyle w:val="Cabealho"/>
        <w:ind w:left="-567"/>
        <w:jc w:val="center"/>
        <w:rPr>
          <w:rFonts w:ascii="Arial" w:eastAsia="Times New Roman" w:hAnsi="Arial" w:cs="Arial"/>
          <w:i/>
          <w:iCs/>
          <w:color w:val="FF0000"/>
          <w:szCs w:val="24"/>
        </w:rPr>
      </w:pPr>
    </w:p>
    <w:p w14:paraId="458A7DD2" w14:textId="7759629D" w:rsidR="003217DC" w:rsidRPr="00CE76F1" w:rsidRDefault="003217DC" w:rsidP="00CE76F1">
      <w:pPr>
        <w:pStyle w:val="Cabealho"/>
        <w:ind w:left="1134" w:right="1134"/>
        <w:jc w:val="both"/>
        <w:rPr>
          <w:b/>
          <w:i/>
          <w:sz w:val="21"/>
        </w:rPr>
      </w:pPr>
      <w:r w:rsidRPr="00CE76F1">
        <w:rPr>
          <w:rFonts w:ascii="Arial" w:eastAsia="Times New Roman" w:hAnsi="Arial" w:cs="Arial"/>
          <w:i/>
          <w:iCs/>
          <w:color w:val="FF0000"/>
          <w:sz w:val="21"/>
          <w:szCs w:val="24"/>
        </w:rPr>
        <w:t>Leia atentamente estas instruções antes do preenchimento</w:t>
      </w:r>
      <w:r w:rsidR="00CE76F1" w:rsidRPr="00CE76F1">
        <w:rPr>
          <w:rFonts w:ascii="Arial" w:eastAsia="Times New Roman" w:hAnsi="Arial" w:cs="Arial"/>
          <w:i/>
          <w:iCs/>
          <w:color w:val="FF0000"/>
          <w:sz w:val="21"/>
          <w:szCs w:val="24"/>
        </w:rPr>
        <w:t xml:space="preserve"> das informações quantitativas</w:t>
      </w:r>
      <w:r w:rsidRPr="00CE76F1">
        <w:rPr>
          <w:rFonts w:ascii="Arial" w:eastAsia="Times New Roman" w:hAnsi="Arial" w:cs="Arial"/>
          <w:i/>
          <w:iCs/>
          <w:color w:val="FF0000"/>
          <w:sz w:val="21"/>
          <w:szCs w:val="24"/>
        </w:rPr>
        <w:t>. O sucesso no pleito ao credenciamento depende da perfeita adequação dest</w:t>
      </w:r>
      <w:r w:rsidR="0006255B" w:rsidRPr="00CE76F1">
        <w:rPr>
          <w:rFonts w:ascii="Arial" w:eastAsia="Times New Roman" w:hAnsi="Arial" w:cs="Arial"/>
          <w:i/>
          <w:iCs/>
          <w:color w:val="FF0000"/>
          <w:sz w:val="21"/>
          <w:szCs w:val="24"/>
        </w:rPr>
        <w:t>as informações às regras desta chamada</w:t>
      </w:r>
      <w:r w:rsidRPr="00CE76F1">
        <w:rPr>
          <w:rFonts w:ascii="Arial" w:eastAsia="Times New Roman" w:hAnsi="Arial" w:cs="Arial"/>
          <w:i/>
          <w:iCs/>
          <w:color w:val="FF0000"/>
          <w:sz w:val="21"/>
          <w:szCs w:val="24"/>
        </w:rPr>
        <w:t xml:space="preserve"> </w:t>
      </w:r>
      <w:r w:rsidR="00CE76F1" w:rsidRPr="00CE76F1">
        <w:rPr>
          <w:rFonts w:ascii="Arial" w:eastAsia="Times New Roman" w:hAnsi="Arial" w:cs="Arial"/>
          <w:i/>
          <w:iCs/>
          <w:color w:val="FF0000"/>
          <w:sz w:val="21"/>
          <w:szCs w:val="24"/>
        </w:rPr>
        <w:t>EMBRAPII.</w:t>
      </w:r>
    </w:p>
    <w:p w14:paraId="0918BECD" w14:textId="77777777" w:rsidR="003217DC" w:rsidRDefault="003217DC" w:rsidP="003217D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55C76D2" w14:textId="77777777" w:rsidR="003217DC" w:rsidRDefault="003217DC" w:rsidP="003217D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9733DF7" w14:textId="77777777" w:rsid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217DC">
        <w:rPr>
          <w:rFonts w:ascii="Arial" w:eastAsia="Times New Roman" w:hAnsi="Arial" w:cs="Arial"/>
          <w:b/>
          <w:bCs/>
          <w:sz w:val="20"/>
          <w:szCs w:val="20"/>
        </w:rPr>
        <w:t>Orientação geral</w:t>
      </w:r>
    </w:p>
    <w:p w14:paraId="222E4CFD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51CEF6B" w14:textId="248A954C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As instruções aqui disponibilizadas tem o objetivo de orientar as instituições proponentes e s</w:t>
      </w:r>
      <w:r w:rsidR="007B41D0">
        <w:rPr>
          <w:rFonts w:ascii="Arial" w:eastAsia="Times New Roman" w:hAnsi="Arial" w:cs="Arial"/>
          <w:sz w:val="20"/>
          <w:szCs w:val="20"/>
        </w:rPr>
        <w:t>eus grupos</w:t>
      </w:r>
      <w:r w:rsidRPr="003217DC">
        <w:rPr>
          <w:rFonts w:ascii="Arial" w:eastAsia="Times New Roman" w:hAnsi="Arial" w:cs="Arial"/>
          <w:sz w:val="20"/>
          <w:szCs w:val="20"/>
        </w:rPr>
        <w:t xml:space="preserve"> </w:t>
      </w:r>
      <w:r w:rsidR="007B41D0">
        <w:rPr>
          <w:rFonts w:ascii="Arial" w:eastAsia="Times New Roman" w:hAnsi="Arial" w:cs="Arial"/>
          <w:sz w:val="20"/>
          <w:szCs w:val="20"/>
        </w:rPr>
        <w:t>c</w:t>
      </w:r>
      <w:r w:rsidRPr="003217DC">
        <w:rPr>
          <w:rFonts w:ascii="Arial" w:eastAsia="Times New Roman" w:hAnsi="Arial" w:cs="Arial"/>
          <w:sz w:val="20"/>
          <w:szCs w:val="20"/>
        </w:rPr>
        <w:t>andidat</w:t>
      </w:r>
      <w:r w:rsidR="007B41D0">
        <w:rPr>
          <w:rFonts w:ascii="Arial" w:eastAsia="Times New Roman" w:hAnsi="Arial" w:cs="Arial"/>
          <w:sz w:val="20"/>
          <w:szCs w:val="20"/>
        </w:rPr>
        <w:t>o</w:t>
      </w:r>
      <w:r w:rsidRPr="003217DC">
        <w:rPr>
          <w:rFonts w:ascii="Arial" w:eastAsia="Times New Roman" w:hAnsi="Arial" w:cs="Arial"/>
          <w:sz w:val="20"/>
          <w:szCs w:val="20"/>
        </w:rPr>
        <w:t>s no fornecimento d</w:t>
      </w:r>
      <w:r w:rsidR="00DE73D8">
        <w:rPr>
          <w:rFonts w:ascii="Arial" w:eastAsia="Times New Roman" w:hAnsi="Arial" w:cs="Arial"/>
          <w:sz w:val="20"/>
          <w:szCs w:val="20"/>
        </w:rPr>
        <w:t>e informações para o pleito ao c</w:t>
      </w:r>
      <w:r w:rsidRPr="003217DC">
        <w:rPr>
          <w:rFonts w:ascii="Arial" w:eastAsia="Times New Roman" w:hAnsi="Arial" w:cs="Arial"/>
          <w:sz w:val="20"/>
          <w:szCs w:val="20"/>
        </w:rPr>
        <w:t xml:space="preserve">redenciamento como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EMBRAPII.</w:t>
      </w:r>
    </w:p>
    <w:p w14:paraId="1219A8AD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68AF4A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Todos os aspectos quantitativos e qualitativos envolvidos no julgamento do pleito ao credenciamento se baseiam nas informações aqui fornecidas, portanto, a sua exatidão é essencial para o correto enquadramento nos critérios de julgamento das propostas submetidas.</w:t>
      </w:r>
    </w:p>
    <w:p w14:paraId="34199DCC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C774F3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Garantidas as proteções e sigilo pertinentes, qualquer informação aqui fornecida está sujeita à verificação pela EMBRAPII durante o processo de julgamento das propostas, podendo ser solicitados, à critério da EMBRAPII, dados complementares e/ou documentos comprobatórios para o esclarecimento de eventuais dúvidas.</w:t>
      </w:r>
    </w:p>
    <w:p w14:paraId="5FDE5FF3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13C6AA" w14:textId="1A0EABEC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Informações incompletas e/ou incompreensíveis dentro dos contextos nos quais são solicitadas serão desconsideradas no julgamento. Portanto, é interesse da </w:t>
      </w:r>
      <w:r w:rsidR="0006255B">
        <w:rPr>
          <w:rFonts w:ascii="Arial" w:eastAsia="Times New Roman" w:hAnsi="Arial" w:cs="Arial"/>
          <w:sz w:val="20"/>
          <w:szCs w:val="20"/>
        </w:rPr>
        <w:t>Instituição</w:t>
      </w:r>
      <w:r w:rsidRPr="003217DC">
        <w:rPr>
          <w:rFonts w:ascii="Arial" w:eastAsia="Times New Roman" w:hAnsi="Arial" w:cs="Arial"/>
          <w:sz w:val="20"/>
          <w:szCs w:val="20"/>
        </w:rPr>
        <w:t xml:space="preserve"> proponente e da candidata garantir a consistência e a clareza de cada linha preenchida desta planilha.</w:t>
      </w:r>
    </w:p>
    <w:p w14:paraId="1EB95C59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188E16" w14:textId="42135138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Para eventuais verificações de conceitos, refira-se ao texto publicado desta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0FADF8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91E3FB" w14:textId="293F5B0B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Para preenchimento desta planilha é necessário o uso do software MicroSoft Excel® versão 2013 ou superior. Em nenhuma hipótese esta planilha deve ser modificada e/ou ter conteúdos removidos, sob pena da candidata ter seu pleito ao credenciamento comprometido por inadequação das informações frente aos critérios desta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</w:p>
    <w:p w14:paraId="54E3C26A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A6391F" w14:textId="77777777" w:rsid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217DC">
        <w:rPr>
          <w:rFonts w:ascii="Arial" w:eastAsia="Times New Roman" w:hAnsi="Arial" w:cs="Arial"/>
          <w:b/>
          <w:bCs/>
          <w:sz w:val="20"/>
          <w:szCs w:val="20"/>
        </w:rPr>
        <w:t>Aba: identificação</w:t>
      </w:r>
    </w:p>
    <w:p w14:paraId="67FBCC17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3EA2CAF" w14:textId="1781BB6C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Use o nome e/ou razão social oficial da </w:t>
      </w:r>
      <w:r w:rsidR="0006255B">
        <w:rPr>
          <w:rFonts w:ascii="Arial" w:eastAsia="Times New Roman" w:hAnsi="Arial" w:cs="Arial"/>
          <w:sz w:val="20"/>
          <w:szCs w:val="20"/>
        </w:rPr>
        <w:t>Instituição</w:t>
      </w:r>
      <w:r w:rsidRPr="003217DC">
        <w:rPr>
          <w:rFonts w:ascii="Arial" w:eastAsia="Times New Roman" w:hAnsi="Arial" w:cs="Arial"/>
          <w:sz w:val="20"/>
          <w:szCs w:val="20"/>
        </w:rPr>
        <w:t xml:space="preserve"> proponente e da candidata ao credenciamento, conforme constam nos documentos oficiais da própria </w:t>
      </w:r>
      <w:r w:rsidR="0006255B">
        <w:rPr>
          <w:rFonts w:ascii="Arial" w:eastAsia="Times New Roman" w:hAnsi="Arial" w:cs="Arial"/>
          <w:sz w:val="20"/>
          <w:szCs w:val="20"/>
        </w:rPr>
        <w:t>instituição</w:t>
      </w:r>
      <w:r w:rsidRPr="003217DC">
        <w:rPr>
          <w:rFonts w:ascii="Arial" w:eastAsia="Times New Roman" w:hAnsi="Arial" w:cs="Arial"/>
          <w:sz w:val="20"/>
          <w:szCs w:val="20"/>
        </w:rPr>
        <w:t xml:space="preserve"> (estatuto social, regimento interno, ata de constituição, contrato social, CNPJ etc.) Havendo coincidência nas duas instâncias repita os dados de identificação.</w:t>
      </w:r>
    </w:p>
    <w:p w14:paraId="09C107ED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59B41D" w14:textId="757E615F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Certifique-se que o responsável legal da </w:t>
      </w:r>
      <w:r w:rsidR="0006255B">
        <w:rPr>
          <w:rFonts w:ascii="Arial" w:eastAsia="Times New Roman" w:hAnsi="Arial" w:cs="Arial"/>
          <w:sz w:val="20"/>
          <w:szCs w:val="20"/>
        </w:rPr>
        <w:t>Instituição</w:t>
      </w:r>
      <w:r w:rsidRPr="003217DC">
        <w:rPr>
          <w:rFonts w:ascii="Arial" w:eastAsia="Times New Roman" w:hAnsi="Arial" w:cs="Arial"/>
          <w:sz w:val="20"/>
          <w:szCs w:val="20"/>
        </w:rPr>
        <w:t xml:space="preserve"> proponente, o(a) responsável pela candidata e o responsável pela proposta de credenciamento aqui citados(as) sejam aqueles(as) que figuram nos documentos oficiais da </w:t>
      </w:r>
      <w:r w:rsidR="0006255B">
        <w:rPr>
          <w:rFonts w:ascii="Arial" w:eastAsia="Times New Roman" w:hAnsi="Arial" w:cs="Arial"/>
          <w:sz w:val="20"/>
          <w:szCs w:val="20"/>
        </w:rPr>
        <w:t>instituição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</w:p>
    <w:p w14:paraId="055F8C0A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D8C0465" w14:textId="574C63A1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Certifique-se que o(a) coordenador(a)/responsável pela proposta também responda tecnicamente pela área de competência pleiteada no credenciamento. Certifique-se que ele seja também o responsável pelos subsídios à EMBRAPII no processo de julgamento, bem como, o(a) responsável técnico(a) pela operação da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na área proposta, caso credenciada.</w:t>
      </w:r>
    </w:p>
    <w:p w14:paraId="3F916956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82EF7E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Ocasionalmente poderá haver coincidência entre o(a) responsável pela candidata e o(a) responsável pela proposta de credenciamento, situação na qual estará subentendido que a liderança técnica na área de credenciamento é exercida pelo mesmo indivíduo que exerce a liderança hierárquica e/ou função equivalente na candidata.</w:t>
      </w:r>
    </w:p>
    <w:p w14:paraId="5B7AFA27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7689ACB" w14:textId="77777777" w:rsid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217DC">
        <w:rPr>
          <w:rFonts w:ascii="Arial" w:eastAsia="Times New Roman" w:hAnsi="Arial" w:cs="Arial"/>
          <w:b/>
          <w:bCs/>
          <w:sz w:val="20"/>
          <w:szCs w:val="20"/>
        </w:rPr>
        <w:t>Aba: equipe</w:t>
      </w:r>
    </w:p>
    <w:p w14:paraId="6BE8886E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307224F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lastRenderedPageBreak/>
        <w:t>As informações de cada membro da equipe devem estar completas, ou seja, nenhuma informação pode ser omitida.</w:t>
      </w:r>
    </w:p>
    <w:p w14:paraId="63BBEBE4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4323C3" w14:textId="77777777" w:rsidR="000B707E" w:rsidRDefault="000B707E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46636">
        <w:rPr>
          <w:rFonts w:ascii="Arial" w:eastAsia="Times New Roman" w:hAnsi="Arial" w:cs="Arial"/>
          <w:sz w:val="20"/>
          <w:szCs w:val="20"/>
        </w:rPr>
        <w:t xml:space="preserve">Cada membro listado como participante da equipe de pesquisa deve necessariamente estar vinculado a uma sublinha da área de competência proposta no credenciamento. Sabe-se que eventualmente um membro, de acordo com a sua formação, pode contribuir com mais de uma sublinha, porém deve-se indicar a sublinha na qual o pesquisador contribua mais fortemente. </w:t>
      </w:r>
    </w:p>
    <w:p w14:paraId="4CBF942C" w14:textId="77777777" w:rsidR="000B707E" w:rsidRDefault="000B707E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CA42A3C" w14:textId="77777777" w:rsidR="000B707E" w:rsidRPr="00146636" w:rsidRDefault="000B707E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46636">
        <w:rPr>
          <w:rFonts w:ascii="Arial" w:eastAsia="Times New Roman" w:hAnsi="Arial" w:cs="Arial"/>
          <w:sz w:val="20"/>
          <w:szCs w:val="20"/>
        </w:rPr>
        <w:t>Note-se que a dificuldade de enquadrar um membro numa sublinha pode representar uma área e sublinhas mal definidas e/ou membros cuja contribuição não se encaixe na área que competência proposta para credenciamento. Tais aspectos são contemplados na análise das propostas, vide critérios e requisitos de credenciamento.</w:t>
      </w:r>
    </w:p>
    <w:p w14:paraId="03C72781" w14:textId="77777777" w:rsidR="000B707E" w:rsidRDefault="000B707E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B5576B3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No preenchimento das informações solicitadas a candidata deverá atentar para:</w:t>
      </w:r>
    </w:p>
    <w:p w14:paraId="58B787F1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3E71D5E" w14:textId="44DCB0D9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A disponibilidade de</w:t>
      </w:r>
      <w:r w:rsidRPr="003217DC">
        <w:rPr>
          <w:rFonts w:ascii="Arial" w:eastAsia="Times New Roman" w:hAnsi="Arial" w:cs="Arial"/>
          <w:color w:val="FF0000"/>
          <w:sz w:val="20"/>
          <w:szCs w:val="20"/>
        </w:rPr>
        <w:t xml:space="preserve"> horas/mês</w:t>
      </w:r>
      <w:r w:rsidRPr="003217DC">
        <w:rPr>
          <w:rFonts w:ascii="Arial" w:eastAsia="Times New Roman" w:hAnsi="Arial" w:cs="Arial"/>
          <w:sz w:val="20"/>
          <w:szCs w:val="20"/>
        </w:rPr>
        <w:t xml:space="preserve"> deve ser o limite máximo de dedicação possível para cada membro da equipe, descontadas da disponibilidade as horas dedicadas a outras atividades que façam parte das suas funções, porém não estejam associadas à proposta de credenciamento EMBRAPII. Por exemplo, para docentes excluem-se horas de docência, participação em conselhos e similares. Para dirigentes institucionais excluem-se horas de gestão não relacionadas às atividade da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EMBRAPII, etc.</w:t>
      </w:r>
    </w:p>
    <w:p w14:paraId="245E5972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9A2A07" w14:textId="56E0088E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O papel/atividade dos membros da equipe devem ser selecionados entre as opções disponíveis nesta planilha, que correspondem aos principais papéis previstos no Sistema de Excelência Operacional EMBRAPII, disponível em http://EMBRAPII.org.br/sistema-de-excelencia-operacional-EMBRAPII/ . Note-se que não se trata do cargo ou posição do indivíduo na hierarquia da sua própria </w:t>
      </w:r>
      <w:r w:rsidR="0006255B">
        <w:rPr>
          <w:rFonts w:ascii="Arial" w:eastAsia="Times New Roman" w:hAnsi="Arial" w:cs="Arial"/>
          <w:sz w:val="20"/>
          <w:szCs w:val="20"/>
        </w:rPr>
        <w:t>instituição</w:t>
      </w:r>
      <w:r w:rsidRPr="003217DC">
        <w:rPr>
          <w:rFonts w:ascii="Arial" w:eastAsia="Times New Roman" w:hAnsi="Arial" w:cs="Arial"/>
          <w:sz w:val="20"/>
          <w:szCs w:val="20"/>
        </w:rPr>
        <w:t xml:space="preserve">, mas sim o seu papel (tarefa, atividade, etc.) na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EMBRAPII</w:t>
      </w:r>
      <w:r w:rsidR="00460BCE">
        <w:rPr>
          <w:rFonts w:ascii="Arial" w:eastAsia="Times New Roman" w:hAnsi="Arial" w:cs="Arial"/>
          <w:sz w:val="20"/>
          <w:szCs w:val="20"/>
        </w:rPr>
        <w:t xml:space="preserve"> a ser credenciada</w:t>
      </w:r>
      <w:r w:rsidRPr="003217DC">
        <w:rPr>
          <w:rFonts w:ascii="Arial" w:eastAsia="Times New Roman" w:hAnsi="Arial" w:cs="Arial"/>
          <w:sz w:val="20"/>
          <w:szCs w:val="20"/>
        </w:rPr>
        <w:t>, segundo o modelo operacional EMBRAPII.</w:t>
      </w:r>
    </w:p>
    <w:p w14:paraId="7F4B308C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2925B2E" w14:textId="1E1FF63E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Se um membro da equipe desempenha mais de um papel na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a ser credenciada, deve-se selecionar na planilha aquele que mais demandará horas dentro da sua carga horária total disponível. Por exemplo, um </w:t>
      </w:r>
      <w:r w:rsidR="00460BCE" w:rsidRPr="003217DC">
        <w:rPr>
          <w:rFonts w:ascii="Arial" w:eastAsia="Times New Roman" w:hAnsi="Arial" w:cs="Arial"/>
          <w:sz w:val="20"/>
          <w:szCs w:val="20"/>
        </w:rPr>
        <w:t>líder</w:t>
      </w:r>
      <w:r w:rsidRPr="003217DC">
        <w:rPr>
          <w:rFonts w:ascii="Arial" w:eastAsia="Times New Roman" w:hAnsi="Arial" w:cs="Arial"/>
          <w:sz w:val="20"/>
          <w:szCs w:val="20"/>
        </w:rPr>
        <w:t xml:space="preserve"> de prospecção que seja também pesquisador deve indicar qual dos dois papéis demandará mais da sua dedicação nas atividades da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EMBRAPII, Prospecção Projetos ou Equipe Pesquisa.  Deve ficar claro que a indicação ora apresentada não impedirá que o profissional atue em mais de um papel na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após credenciada.</w:t>
      </w:r>
    </w:p>
    <w:p w14:paraId="43C0B1FA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789B7D" w14:textId="77777777" w:rsid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217DC">
        <w:rPr>
          <w:rFonts w:ascii="Arial" w:eastAsia="Times New Roman" w:hAnsi="Arial" w:cs="Arial"/>
          <w:b/>
          <w:bCs/>
          <w:sz w:val="20"/>
          <w:szCs w:val="20"/>
        </w:rPr>
        <w:t>Aba: experiência</w:t>
      </w:r>
    </w:p>
    <w:p w14:paraId="17DB8F8C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7F1E8D1" w14:textId="6CF46DC8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As informações sobre projetos contratados no período requerido fundamenta a experiência da candidata na contratação de projetos </w:t>
      </w:r>
      <w:r w:rsidR="00493914">
        <w:rPr>
          <w:rFonts w:ascii="Arial" w:eastAsia="Times New Roman" w:hAnsi="Arial" w:cs="Arial"/>
          <w:sz w:val="20"/>
          <w:szCs w:val="20"/>
        </w:rPr>
        <w:t>de desenvolvimento tecnológico</w:t>
      </w:r>
      <w:r w:rsidRPr="003217DC">
        <w:rPr>
          <w:rFonts w:ascii="Arial" w:eastAsia="Times New Roman" w:hAnsi="Arial" w:cs="Arial"/>
          <w:sz w:val="20"/>
          <w:szCs w:val="20"/>
        </w:rPr>
        <w:t xml:space="preserve">, na área de competência na qual se pleiteia o credenciamento - vide requisitos da experiência na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 xml:space="preserve">. Com isso, busca-se avaliar a experiência da candidata na execução de projetos similares aos previstos para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>s EMBRAPII credenciadas.</w:t>
      </w:r>
    </w:p>
    <w:p w14:paraId="167D9509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F2280" w14:textId="24074E46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Para fins da comprovação da experiência em PD&amp;I não são considerados os projetos cujos(as) contratantes não atendam os requisitos desta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 xml:space="preserve">. É relevante observar que na operação da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já credenciada os contratantes dos projetos de PD&amp;I devem atender o especificado no Manual de Operação EMBRAPII - ou seja, haver pelo menos uma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industrial contratante em cada projeto.</w:t>
      </w:r>
    </w:p>
    <w:p w14:paraId="331B457E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B44234" w14:textId="3D9F0B27" w:rsidR="00BA2895" w:rsidRDefault="00BA2895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2895">
        <w:rPr>
          <w:rFonts w:ascii="Arial" w:eastAsia="Times New Roman" w:hAnsi="Arial" w:cs="Arial"/>
          <w:sz w:val="20"/>
          <w:szCs w:val="20"/>
        </w:rPr>
        <w:t xml:space="preserve">Cada projeto listado na demonstração da experiência em PD&amp;I deve necessariamente estar vinculado a uma sublinha da área de competência proposta no credenciamento. Sabe-se que eventualmente um projeto contemple temas de mais de uma sublinha, porém deve-se indicar a sublinha na qual o tema e a inovação do projeto subsidiem mais fortemente a atuação na área de competência proposta pela candidata. </w:t>
      </w:r>
      <w:r w:rsidR="00460BCE">
        <w:rPr>
          <w:rFonts w:ascii="Arial" w:eastAsia="Times New Roman" w:hAnsi="Arial" w:cs="Arial"/>
          <w:sz w:val="20"/>
          <w:szCs w:val="20"/>
        </w:rPr>
        <w:t xml:space="preserve"> De modo análogo, cada projeto listado deve ter sido desenvolvido por membro da equipe candidata ao credenciamento, devendo ele, preferencialmente, ter sido o seu coordenador.</w:t>
      </w:r>
    </w:p>
    <w:p w14:paraId="0002B4E6" w14:textId="77777777" w:rsidR="00BA2895" w:rsidRDefault="00BA2895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6259BA" w14:textId="6A5CAA6B" w:rsidR="00BA2895" w:rsidRPr="00BA2895" w:rsidRDefault="00BA2895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2895">
        <w:rPr>
          <w:rFonts w:ascii="Arial" w:eastAsia="Times New Roman" w:hAnsi="Arial" w:cs="Arial"/>
          <w:sz w:val="20"/>
          <w:szCs w:val="20"/>
        </w:rPr>
        <w:t xml:space="preserve">Note-se que a dificuldade de enquadrar um projeto numa sublinha pode representar uma área e sublinhas mal definidas e/ou projetos que estejam foram de contexto, portanto, não subsidiem a </w:t>
      </w:r>
      <w:r w:rsidRPr="00BA2895">
        <w:rPr>
          <w:rFonts w:ascii="Arial" w:eastAsia="Times New Roman" w:hAnsi="Arial" w:cs="Arial"/>
          <w:sz w:val="20"/>
          <w:szCs w:val="20"/>
        </w:rPr>
        <w:lastRenderedPageBreak/>
        <w:t>experiência conforme regras da chamada. Tais aspectos são contemplados na análise das propostas, vide critérios e requisitos de credenciamento.</w:t>
      </w:r>
    </w:p>
    <w:p w14:paraId="2D192244" w14:textId="77777777" w:rsidR="00BA2895" w:rsidRDefault="00BA2895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45C712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O título, objetivo, entregável e inovação desenvolvida visam caracterizar o objeto de desenvolvimento do projeto relatado. Por isso, a clareza e a fidelidade destas descrições para com o projeto relatado é imprescindível para análise da experiência, não precisando, contudo, serem cópias integrais dos instrumentos contratuais dos respectivos projetos.</w:t>
      </w:r>
    </w:p>
    <w:p w14:paraId="67F2BE46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7A813B" w14:textId="38454A38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As datas de contratação e término são aquelas declaradas nos instrumentos contratuais do projeto listado como comprovação de experiência. Para fins de enquadramento nos critérios da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 xml:space="preserve"> considera-se a data de contratação (assinatura do instrumento contratual de cada projeto relatado), implicando que os projetos listados como experiência possam estar em início d</w:t>
      </w:r>
      <w:r w:rsidR="006A051C">
        <w:rPr>
          <w:rFonts w:ascii="Arial" w:eastAsia="Times New Roman" w:hAnsi="Arial" w:cs="Arial"/>
          <w:sz w:val="20"/>
          <w:szCs w:val="20"/>
        </w:rPr>
        <w:t>e</w:t>
      </w:r>
      <w:r w:rsidRPr="003217DC">
        <w:rPr>
          <w:rFonts w:ascii="Arial" w:eastAsia="Times New Roman" w:hAnsi="Arial" w:cs="Arial"/>
          <w:sz w:val="20"/>
          <w:szCs w:val="20"/>
        </w:rPr>
        <w:t xml:space="preserve"> andamento.</w:t>
      </w:r>
    </w:p>
    <w:p w14:paraId="04BCB3AA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454491" w14:textId="5C3D168F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A informação sobre Propriedade Intelectual (PI) visa caracterizar resultados passíveis de proteção decorrentes do projeto listado</w:t>
      </w:r>
      <w:r w:rsidR="006A051C">
        <w:rPr>
          <w:rFonts w:ascii="Arial" w:eastAsia="Times New Roman" w:hAnsi="Arial" w:cs="Arial"/>
          <w:sz w:val="20"/>
          <w:szCs w:val="20"/>
        </w:rPr>
        <w:t>, sendo</w:t>
      </w:r>
      <w:r w:rsidRPr="003217DC">
        <w:rPr>
          <w:rFonts w:ascii="Arial" w:eastAsia="Times New Roman" w:hAnsi="Arial" w:cs="Arial"/>
          <w:sz w:val="20"/>
          <w:szCs w:val="20"/>
        </w:rPr>
        <w:t xml:space="preserve"> parte da experiência da equipe. Para fins desta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 xml:space="preserve"> devem ser indicados os depósitos realizados ou a realizar, independente do autor do pedido e/ou da propriedade da equipe sobre a PI, desde que oriundo do projeto em questão. </w:t>
      </w:r>
    </w:p>
    <w:p w14:paraId="3A645747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750826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Os valores informados nas colunas sobre </w:t>
      </w:r>
      <w:r w:rsidRPr="003217DC">
        <w:rPr>
          <w:rFonts w:ascii="Arial" w:eastAsia="Times New Roman" w:hAnsi="Arial" w:cs="Arial"/>
          <w:b/>
          <w:bCs/>
          <w:sz w:val="20"/>
          <w:szCs w:val="20"/>
        </w:rPr>
        <w:t>Financiamento Global do Projeto</w:t>
      </w:r>
      <w:r w:rsidRPr="003217DC">
        <w:rPr>
          <w:rFonts w:ascii="Arial" w:eastAsia="Times New Roman" w:hAnsi="Arial" w:cs="Arial"/>
          <w:sz w:val="20"/>
          <w:szCs w:val="20"/>
        </w:rPr>
        <w:t xml:space="preserve"> devem ter seu uso detalhado nas colunas que tratam da</w:t>
      </w:r>
      <w:r w:rsidRPr="003217DC">
        <w:rPr>
          <w:rFonts w:ascii="Arial" w:eastAsia="Times New Roman" w:hAnsi="Arial" w:cs="Arial"/>
          <w:b/>
          <w:bCs/>
          <w:sz w:val="20"/>
          <w:szCs w:val="20"/>
        </w:rPr>
        <w:t xml:space="preserve"> Principal Destinação dos Recursos do Projeto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</w:p>
    <w:p w14:paraId="42C66CFA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14F7E1F" w14:textId="179B09CA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O cofinanciamento informa o aporte de recursos no desenvolvimento do projeto, além dos recursos </w:t>
      </w:r>
      <w:r w:rsidRPr="003217DC">
        <w:rPr>
          <w:rFonts w:ascii="Arial" w:eastAsia="Times New Roman" w:hAnsi="Arial" w:cs="Arial"/>
          <w:i/>
          <w:iCs/>
          <w:sz w:val="20"/>
          <w:szCs w:val="20"/>
        </w:rPr>
        <w:t xml:space="preserve">financeiros próprios, </w:t>
      </w:r>
      <w:r w:rsidRPr="003217DC">
        <w:rPr>
          <w:rFonts w:ascii="Arial" w:eastAsia="Times New Roman" w:hAnsi="Arial" w:cs="Arial"/>
          <w:sz w:val="20"/>
          <w:szCs w:val="20"/>
        </w:rPr>
        <w:t xml:space="preserve">aportados pela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contratante. São considerados recursos da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os recursos próprios, aqueles obtidos por meio de empréstimos pela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(crédito) ou recursos de obrigatoriedade de investimento em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(tais como Lei de Informática, ANEEL, ANP, </w:t>
      </w:r>
      <w:r w:rsidR="0062067D" w:rsidRPr="003217DC">
        <w:rPr>
          <w:rFonts w:ascii="Arial" w:eastAsia="Times New Roman" w:hAnsi="Arial" w:cs="Arial"/>
          <w:sz w:val="20"/>
          <w:szCs w:val="20"/>
        </w:rPr>
        <w:t>etc.</w:t>
      </w:r>
      <w:r w:rsidRPr="003217DC">
        <w:rPr>
          <w:rFonts w:ascii="Arial" w:eastAsia="Times New Roman" w:hAnsi="Arial" w:cs="Arial"/>
          <w:sz w:val="20"/>
          <w:szCs w:val="20"/>
        </w:rPr>
        <w:t>).</w:t>
      </w:r>
    </w:p>
    <w:p w14:paraId="71A65A27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DD83C8" w14:textId="2E975680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Os recursos informados na coluna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devem ser apenas os recursos de caixa </w:t>
      </w:r>
      <w:r w:rsidRPr="003217DC">
        <w:rPr>
          <w:rFonts w:ascii="Arial" w:eastAsia="Times New Roman" w:hAnsi="Arial" w:cs="Arial"/>
          <w:b/>
          <w:bCs/>
          <w:sz w:val="20"/>
          <w:szCs w:val="20"/>
        </w:rPr>
        <w:t>próprio.</w:t>
      </w:r>
      <w:r w:rsidRPr="003217DC">
        <w:rPr>
          <w:rFonts w:ascii="Arial" w:eastAsia="Times New Roman" w:hAnsi="Arial" w:cs="Arial"/>
          <w:sz w:val="20"/>
          <w:szCs w:val="20"/>
        </w:rPr>
        <w:t xml:space="preserve"> Os recursos obtidos por meio de empréstimos e os recursos de obrigatoriedade de investimento em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, apesar de serem considerados como recursos da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, para fins de comprovação de experiência, devem ser lançados na coluna COFINANCIAMENTO. Recursos de </w:t>
      </w:r>
      <w:r w:rsidRPr="003217DC">
        <w:rPr>
          <w:rFonts w:ascii="Arial" w:eastAsia="Times New Roman" w:hAnsi="Arial" w:cs="Arial"/>
          <w:b/>
          <w:bCs/>
          <w:sz w:val="20"/>
          <w:szCs w:val="20"/>
        </w:rPr>
        <w:t>subvenção econômica</w:t>
      </w:r>
      <w:r w:rsidRPr="003217DC">
        <w:rPr>
          <w:rFonts w:ascii="Arial" w:eastAsia="Times New Roman" w:hAnsi="Arial" w:cs="Arial"/>
          <w:sz w:val="20"/>
          <w:szCs w:val="20"/>
        </w:rPr>
        <w:t xml:space="preserve"> e </w:t>
      </w:r>
      <w:r w:rsidRPr="003217DC">
        <w:rPr>
          <w:rFonts w:ascii="Arial" w:eastAsia="Times New Roman" w:hAnsi="Arial" w:cs="Arial"/>
          <w:b/>
          <w:bCs/>
          <w:sz w:val="20"/>
          <w:szCs w:val="20"/>
        </w:rPr>
        <w:t>não reembolsáveis</w:t>
      </w:r>
      <w:r w:rsidRPr="003217DC">
        <w:rPr>
          <w:rFonts w:ascii="Arial" w:eastAsia="Times New Roman" w:hAnsi="Arial" w:cs="Arial"/>
          <w:sz w:val="20"/>
          <w:szCs w:val="20"/>
        </w:rPr>
        <w:t xml:space="preserve"> (também lançados na coluna COFINANCIAMENTO) não serão contabilizados para apurar a experiência</w:t>
      </w:r>
      <w:r w:rsidR="006A051C">
        <w:rPr>
          <w:rFonts w:ascii="Arial" w:eastAsia="Times New Roman" w:hAnsi="Arial" w:cs="Arial"/>
          <w:sz w:val="20"/>
          <w:szCs w:val="20"/>
        </w:rPr>
        <w:t>,</w:t>
      </w:r>
      <w:r w:rsidRPr="003217DC">
        <w:rPr>
          <w:rFonts w:ascii="Arial" w:eastAsia="Times New Roman" w:hAnsi="Arial" w:cs="Arial"/>
          <w:sz w:val="20"/>
          <w:szCs w:val="20"/>
        </w:rPr>
        <w:t xml:space="preserve"> conforme requisitos desta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</w:p>
    <w:p w14:paraId="6E153BA3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9DCDF5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Caso o projeto apresentado possua mais de uma modalidade de cofinanciamento a candidata deverá selecionar a opção "Outros" na coluna MODALIDADE DE COFINANCIAMENTO, e detalhá-los nas observações (incluindo os valores de cada modalidade), lançando seu valor total da coluna COFINANCIAMENTO.  </w:t>
      </w:r>
    </w:p>
    <w:p w14:paraId="23F2FFA8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4686BB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Recursos de contrapartida da candidata poderão ser financeiros ou não financeiros (econômicos).</w:t>
      </w:r>
    </w:p>
    <w:p w14:paraId="78AB7E56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1A913E" w14:textId="1F266E12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Por custeio entenda-se material de consumo; PESSOAL diretamente ligado ao projeto; serviços de terceiros; passagens e diárias para atividades técnicas, etc. Ou seja, são valores destinados à CUSTEIO os aplicados diretamente na produção do resultado entregue à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442D5DC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1326B3" w14:textId="7EDE2B36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Capacitação de RH pode envolver bolsas de capacitação, cursos, treinamentos, viagens a eventos técnico-científicos, etc. São valores destinados à CAPACITAÇÃO de recursos humanos (RH) diretamente vinculados à produção do resultado entregue à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C06956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5C694" w14:textId="0314BA5B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São recursos destinados à montagem de INFRAESTRUTURA técnico-laboratorial aqueles diretamente vinculada à produção do resultado entregue à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>, podendo envolver obras e instalações, incluindo a montagem de utilidades laboratoriais.</w:t>
      </w:r>
    </w:p>
    <w:p w14:paraId="3CF020C4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25CE1A" w14:textId="2C2CB818" w:rsid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Aquisição de equipamentos envolve os recursos destinados à compra de MÁQUINAS e EQUIPAMENTOS técnico-científicos diretamente vinculados à produção do resultado entregue à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A9F45C3" w14:textId="52E2F136" w:rsidR="006A051C" w:rsidRPr="003217DC" w:rsidRDefault="006A051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Note-se que o detalhamento dos recursos destinados à montagem de infraestrutura e à compra de máquinas e equipamentos visa apenas discriminar os recursos com o uso análogo aos admitidos pela EMBRAPII – vide seção 6 da chamada em caso de dúvidas.</w:t>
      </w:r>
    </w:p>
    <w:p w14:paraId="3C609F8D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D5B179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217DC">
        <w:rPr>
          <w:rFonts w:ascii="Arial" w:eastAsia="Times New Roman" w:hAnsi="Arial" w:cs="Arial"/>
          <w:b/>
          <w:sz w:val="20"/>
          <w:szCs w:val="20"/>
        </w:rPr>
        <w:t>Aba: infraestrutura</w:t>
      </w:r>
    </w:p>
    <w:p w14:paraId="5D1EBE7B" w14:textId="77777777" w:rsidR="003217DC" w:rsidRPr="003217DC" w:rsidRDefault="003217DC" w:rsidP="00CE76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065336" w14:textId="71EDA128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Deve-se listar apenas a infraestrutura essencial (relevante) de pesquisa para subsidiar as atividades de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na área a ser credenciada, que caracterize diferencial da candidata no país. A critério da candidata pode-se Incluir equipamentos, sistemas, processos piloto, reatores, instrumentos analíticos e software (ex. simulação) quando pertinente.</w:t>
      </w:r>
    </w:p>
    <w:p w14:paraId="33B319CE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F1CFD8" w14:textId="6040C93D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A relevância do item se refere à sua importância relativa no contexto a infraestrutura listada, assumindo que sejam relacionados apenas itens essenciais ao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na área. Assim, relevância ESSENCIAL caracteriza um item diferenciador das instalações da candidata, enquanto relevância ACESSÓRIA caracteriza um item necessário para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na área, porém que não caracteriza destaque na infraestrutura.</w:t>
      </w:r>
    </w:p>
    <w:p w14:paraId="6FBF93C4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94C19D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A disponibilidade distingue algo que é de uso exclusivo da equipe proponente do credenciamento, daquilo que tem uso compartilhado, portanto, admite uso INTEGRAL ou PARCIAL nas atividades EMBRAPII, assumindo-se que todos os itens listados estarão acessíveis à candidata.</w:t>
      </w:r>
    </w:p>
    <w:p w14:paraId="4600B88C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B49A31" w14:textId="77777777" w:rsid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217DC">
        <w:rPr>
          <w:rFonts w:ascii="Arial" w:eastAsia="Times New Roman" w:hAnsi="Arial" w:cs="Arial"/>
          <w:b/>
          <w:bCs/>
          <w:sz w:val="20"/>
          <w:szCs w:val="20"/>
        </w:rPr>
        <w:t>Aba: plano financeiro</w:t>
      </w:r>
    </w:p>
    <w:p w14:paraId="2E269EDE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F8C20A5" w14:textId="574A98E0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A previsão de recursos pressupõe o compromisso da candidata em contratar projetos de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com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 industriais, na área credenciada, cujo volume de contratação totalize os </w:t>
      </w:r>
      <w:r w:rsidR="00C01CAE">
        <w:rPr>
          <w:rFonts w:ascii="Arial" w:eastAsia="Times New Roman" w:hAnsi="Arial" w:cs="Arial"/>
          <w:sz w:val="20"/>
          <w:szCs w:val="20"/>
        </w:rPr>
        <w:t xml:space="preserve">valores </w:t>
      </w:r>
      <w:r w:rsidRPr="003217DC">
        <w:rPr>
          <w:rFonts w:ascii="Arial" w:eastAsia="Times New Roman" w:hAnsi="Arial" w:cs="Arial"/>
          <w:sz w:val="20"/>
          <w:szCs w:val="20"/>
        </w:rPr>
        <w:t xml:space="preserve">previstos para cada ano por fonte, mantendo a proporção de recursos entre as fontes (EMBRAPII,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="00C01CAE">
        <w:rPr>
          <w:rFonts w:ascii="Arial" w:eastAsia="Times New Roman" w:hAnsi="Arial" w:cs="Arial"/>
          <w:sz w:val="20"/>
          <w:szCs w:val="20"/>
        </w:rPr>
        <w:t>s</w:t>
      </w:r>
      <w:r w:rsidRPr="003217DC">
        <w:rPr>
          <w:rFonts w:ascii="Arial" w:eastAsia="Times New Roman" w:hAnsi="Arial" w:cs="Arial"/>
          <w:sz w:val="20"/>
          <w:szCs w:val="20"/>
        </w:rPr>
        <w:t xml:space="preserve"> e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) ao final do período de credenciamento, nos termos previstos no Manual de Operação das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>s EMBRAPII.</w:t>
      </w:r>
    </w:p>
    <w:p w14:paraId="7DCD216B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881103" w14:textId="4C405219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Os recursos previstos no plano financeiro se referem ao comprometido no ato da contratação dos projetos, não </w:t>
      </w:r>
      <w:r w:rsidR="006A21FE">
        <w:rPr>
          <w:rFonts w:ascii="Arial" w:eastAsia="Times New Roman" w:hAnsi="Arial" w:cs="Arial"/>
          <w:sz w:val="20"/>
          <w:szCs w:val="20"/>
        </w:rPr>
        <w:t>a</w:t>
      </w:r>
      <w:r w:rsidRPr="003217DC">
        <w:rPr>
          <w:rFonts w:ascii="Arial" w:eastAsia="Times New Roman" w:hAnsi="Arial" w:cs="Arial"/>
          <w:sz w:val="20"/>
          <w:szCs w:val="20"/>
        </w:rPr>
        <w:t xml:space="preserve">os gastos a serem realizados durante a execução dos próprios projetos. Ou seja, os recursos se </w:t>
      </w:r>
      <w:r w:rsidR="0036151E" w:rsidRPr="003217DC">
        <w:rPr>
          <w:rFonts w:ascii="Arial" w:eastAsia="Times New Roman" w:hAnsi="Arial" w:cs="Arial"/>
          <w:sz w:val="20"/>
          <w:szCs w:val="20"/>
        </w:rPr>
        <w:t>referem</w:t>
      </w:r>
      <w:r w:rsidRPr="003217DC">
        <w:rPr>
          <w:rFonts w:ascii="Arial" w:eastAsia="Times New Roman" w:hAnsi="Arial" w:cs="Arial"/>
          <w:sz w:val="20"/>
          <w:szCs w:val="20"/>
        </w:rPr>
        <w:t xml:space="preserve"> ao comprometimento de recursos </w:t>
      </w:r>
      <w:r w:rsidR="005F54F1">
        <w:rPr>
          <w:rFonts w:ascii="Arial" w:eastAsia="Times New Roman" w:hAnsi="Arial" w:cs="Arial"/>
          <w:sz w:val="20"/>
          <w:szCs w:val="20"/>
        </w:rPr>
        <w:t>no ato das</w:t>
      </w:r>
      <w:r w:rsidRPr="003217DC">
        <w:rPr>
          <w:rFonts w:ascii="Arial" w:eastAsia="Times New Roman" w:hAnsi="Arial" w:cs="Arial"/>
          <w:sz w:val="20"/>
          <w:szCs w:val="20"/>
        </w:rPr>
        <w:t xml:space="preserve"> contratações, não a</w:t>
      </w:r>
      <w:r w:rsidR="005F54F1">
        <w:rPr>
          <w:rFonts w:ascii="Arial" w:eastAsia="Times New Roman" w:hAnsi="Arial" w:cs="Arial"/>
          <w:sz w:val="20"/>
          <w:szCs w:val="20"/>
        </w:rPr>
        <w:t>o</w:t>
      </w:r>
      <w:r w:rsidRPr="003217DC">
        <w:rPr>
          <w:rFonts w:ascii="Arial" w:eastAsia="Times New Roman" w:hAnsi="Arial" w:cs="Arial"/>
          <w:sz w:val="20"/>
          <w:szCs w:val="20"/>
        </w:rPr>
        <w:t xml:space="preserve"> fluxo de caixa pertinente à execução dos projetos.</w:t>
      </w:r>
    </w:p>
    <w:p w14:paraId="1C0185C5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759CB4" w14:textId="25E37976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Todos os recursos previstos no plano financeiro devem ser usados para despesas de custeio nos projetos de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contratados com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 industriais. Para detalhes sobre despesas de custeio admitidas pela EMBRAPII consulte o Manual de Operação das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>s EMBRAPII.</w:t>
      </w:r>
    </w:p>
    <w:p w14:paraId="18095978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BA0D4A" w14:textId="70280586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Especial atenção deve ser dada aos recursos de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>s. A captação de tais recursos  implica no esforço de prospecção junto ao setor privado</w:t>
      </w:r>
      <w:r w:rsidR="005F54F1">
        <w:rPr>
          <w:rFonts w:ascii="Arial" w:eastAsia="Times New Roman" w:hAnsi="Arial" w:cs="Arial"/>
          <w:sz w:val="20"/>
          <w:szCs w:val="20"/>
        </w:rPr>
        <w:t>,</w:t>
      </w:r>
      <w:r w:rsidRPr="003217DC">
        <w:rPr>
          <w:rFonts w:ascii="Arial" w:eastAsia="Times New Roman" w:hAnsi="Arial" w:cs="Arial"/>
          <w:sz w:val="20"/>
          <w:szCs w:val="20"/>
        </w:rPr>
        <w:t xml:space="preserve"> a ser feito pela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credenciada. Ressalta-se que as atividades de prospecção de projetos também constituem indicadores e metas contratuais da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no processo de credenciamento.</w:t>
      </w:r>
    </w:p>
    <w:p w14:paraId="319C93CE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EDF25BE" w14:textId="1DD0B621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Os recursos a serem aportados pelas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 nos projetos contratados podem advir de recursos próprios, de financiamento reembolsável realizado pela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e de obrigatoriedade de investimentos em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. Não são admitidos recursos econômicos (não financeiros) das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s, tampouco recursos de financiamentos não reembolsáveis - com </w:t>
      </w:r>
      <w:r w:rsidR="006A21FE" w:rsidRPr="003217DC">
        <w:rPr>
          <w:rFonts w:ascii="Arial" w:eastAsia="Times New Roman" w:hAnsi="Arial" w:cs="Arial"/>
          <w:sz w:val="20"/>
          <w:szCs w:val="20"/>
        </w:rPr>
        <w:t>exceção</w:t>
      </w:r>
      <w:r w:rsidRPr="003217DC">
        <w:rPr>
          <w:rFonts w:ascii="Arial" w:eastAsia="Times New Roman" w:hAnsi="Arial" w:cs="Arial"/>
          <w:sz w:val="20"/>
          <w:szCs w:val="20"/>
        </w:rPr>
        <w:t xml:space="preserve"> de recursos não reembolsáveis providos por agências / instituições de fomento com as quais e EMBRAPII </w:t>
      </w:r>
      <w:r w:rsidR="00D2276B">
        <w:rPr>
          <w:rFonts w:ascii="Arial" w:eastAsia="Times New Roman" w:hAnsi="Arial" w:cs="Arial"/>
          <w:sz w:val="20"/>
          <w:szCs w:val="20"/>
        </w:rPr>
        <w:t>mantenha</w:t>
      </w:r>
      <w:r w:rsidRPr="003217DC">
        <w:rPr>
          <w:rFonts w:ascii="Arial" w:eastAsia="Times New Roman" w:hAnsi="Arial" w:cs="Arial"/>
          <w:sz w:val="20"/>
          <w:szCs w:val="20"/>
        </w:rPr>
        <w:t xml:space="preserve"> acordo de cooperaçã</w:t>
      </w:r>
      <w:r w:rsidR="00D2276B">
        <w:rPr>
          <w:rFonts w:ascii="Arial" w:eastAsia="Times New Roman" w:hAnsi="Arial" w:cs="Arial"/>
          <w:sz w:val="20"/>
          <w:szCs w:val="20"/>
        </w:rPr>
        <w:t>o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</w:p>
    <w:p w14:paraId="31B7D70C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C1A5D9" w14:textId="38216ED5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Igualmente relevante é a oferta de contrapartida (financeira ou econômica) a ser feita pel</w:t>
      </w:r>
      <w:r w:rsidR="00D2276B">
        <w:rPr>
          <w:rFonts w:ascii="Arial" w:eastAsia="Times New Roman" w:hAnsi="Arial" w:cs="Arial"/>
          <w:sz w:val="20"/>
          <w:szCs w:val="20"/>
        </w:rPr>
        <w:t>o grupo</w:t>
      </w:r>
      <w:r w:rsidRPr="003217DC">
        <w:rPr>
          <w:rFonts w:ascii="Arial" w:eastAsia="Times New Roman" w:hAnsi="Arial" w:cs="Arial"/>
          <w:sz w:val="20"/>
          <w:szCs w:val="20"/>
        </w:rPr>
        <w:t xml:space="preserve"> candidat</w:t>
      </w:r>
      <w:r w:rsidR="00D2276B">
        <w:rPr>
          <w:rFonts w:ascii="Arial" w:eastAsia="Times New Roman" w:hAnsi="Arial" w:cs="Arial"/>
          <w:sz w:val="20"/>
          <w:szCs w:val="20"/>
        </w:rPr>
        <w:t>o</w:t>
      </w:r>
      <w:r w:rsidRPr="003217DC">
        <w:rPr>
          <w:rFonts w:ascii="Arial" w:eastAsia="Times New Roman" w:hAnsi="Arial" w:cs="Arial"/>
          <w:sz w:val="20"/>
          <w:szCs w:val="20"/>
        </w:rPr>
        <w:t xml:space="preserve">, que deve necessariamente obedecer às orientações desta </w:t>
      </w:r>
      <w:r w:rsidR="0006255B">
        <w:rPr>
          <w:rFonts w:ascii="Arial" w:eastAsia="Times New Roman" w:hAnsi="Arial" w:cs="Arial"/>
          <w:sz w:val="20"/>
          <w:szCs w:val="20"/>
        </w:rPr>
        <w:t>chamada</w:t>
      </w:r>
      <w:r w:rsidRPr="003217DC">
        <w:rPr>
          <w:rFonts w:ascii="Arial" w:eastAsia="Times New Roman" w:hAnsi="Arial" w:cs="Arial"/>
          <w:sz w:val="20"/>
          <w:szCs w:val="20"/>
        </w:rPr>
        <w:t xml:space="preserve"> e do Manual de Operação EMBRAPII. A oferta de horas de uso de equipamentos como contrapartida da candidata deve obedecer ao especificado no anexo 2 do referido manual, que resulta em aproximadamente R$ 70,00 por hora de uso do equipamento por milhão de reais em operação (valor do equipamento atualizado).</w:t>
      </w:r>
    </w:p>
    <w:p w14:paraId="44046267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3FEAE6" w14:textId="0D4B00B9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Os projetos devem ser concluídos dentro do período de credenciamento. Portanto, a previsão de recursos no último ano pressupõe a contratação de projetos de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de pequena duração, que </w:t>
      </w:r>
      <w:r w:rsidRPr="003217DC">
        <w:rPr>
          <w:rFonts w:ascii="Arial" w:eastAsia="Times New Roman" w:hAnsi="Arial" w:cs="Arial"/>
          <w:sz w:val="20"/>
          <w:szCs w:val="20"/>
        </w:rPr>
        <w:lastRenderedPageBreak/>
        <w:t>possam ser encerrados no último ano de credenciamento - incluindo o encerramento das respectivas despesas nos projetos.</w:t>
      </w:r>
    </w:p>
    <w:p w14:paraId="6A235F74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11E68A" w14:textId="77777777" w:rsid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217DC">
        <w:rPr>
          <w:rFonts w:ascii="Arial" w:eastAsia="Times New Roman" w:hAnsi="Arial" w:cs="Arial"/>
          <w:b/>
          <w:bCs/>
          <w:sz w:val="20"/>
          <w:szCs w:val="20"/>
        </w:rPr>
        <w:t>Aba: indicadores e metas</w:t>
      </w:r>
    </w:p>
    <w:p w14:paraId="7F7E5F9A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BC63092" w14:textId="6ECDDF6A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Além do Plano Financeiro discutido acima, são </w:t>
      </w:r>
      <w:r w:rsidR="00395C70">
        <w:rPr>
          <w:rFonts w:ascii="Arial" w:eastAsia="Times New Roman" w:hAnsi="Arial" w:cs="Arial"/>
          <w:sz w:val="20"/>
          <w:szCs w:val="20"/>
        </w:rPr>
        <w:t>9</w:t>
      </w:r>
      <w:r w:rsidRPr="003217DC">
        <w:rPr>
          <w:rFonts w:ascii="Arial" w:eastAsia="Times New Roman" w:hAnsi="Arial" w:cs="Arial"/>
          <w:sz w:val="20"/>
          <w:szCs w:val="20"/>
        </w:rPr>
        <w:t xml:space="preserve"> os indicadores que constituem metas da candidata ao credenciamento EMBRAPII: </w:t>
      </w:r>
      <w:r w:rsidR="00CA2533" w:rsidRPr="003217DC">
        <w:rPr>
          <w:rFonts w:ascii="Arial" w:eastAsia="Times New Roman" w:hAnsi="Arial" w:cs="Arial"/>
          <w:sz w:val="20"/>
          <w:szCs w:val="20"/>
        </w:rPr>
        <w:t>(</w:t>
      </w:r>
      <w:r w:rsidR="00CA2533">
        <w:rPr>
          <w:rFonts w:ascii="Arial" w:eastAsia="Times New Roman" w:hAnsi="Arial" w:cs="Arial"/>
          <w:sz w:val="20"/>
          <w:szCs w:val="20"/>
        </w:rPr>
        <w:t>i</w:t>
      </w:r>
      <w:r w:rsidR="00CA2533" w:rsidRPr="003217DC">
        <w:rPr>
          <w:rFonts w:ascii="Arial" w:eastAsia="Times New Roman" w:hAnsi="Arial" w:cs="Arial"/>
          <w:sz w:val="20"/>
          <w:szCs w:val="20"/>
        </w:rPr>
        <w:t xml:space="preserve">) prospecção de </w:t>
      </w:r>
      <w:r w:rsidR="00CA2533">
        <w:rPr>
          <w:rFonts w:ascii="Arial" w:eastAsia="Times New Roman" w:hAnsi="Arial" w:cs="Arial"/>
          <w:sz w:val="20"/>
          <w:szCs w:val="20"/>
        </w:rPr>
        <w:t>empresa</w:t>
      </w:r>
      <w:r w:rsidR="00CA2533" w:rsidRPr="003217DC">
        <w:rPr>
          <w:rFonts w:ascii="Arial" w:eastAsia="Times New Roman" w:hAnsi="Arial" w:cs="Arial"/>
          <w:sz w:val="20"/>
          <w:szCs w:val="20"/>
        </w:rPr>
        <w:t>s; (ii) propostas técnicas; (</w:t>
      </w:r>
      <w:r w:rsidR="00CA2533">
        <w:rPr>
          <w:rFonts w:ascii="Arial" w:eastAsia="Times New Roman" w:hAnsi="Arial" w:cs="Arial"/>
          <w:sz w:val="20"/>
          <w:szCs w:val="20"/>
        </w:rPr>
        <w:t>iii</w:t>
      </w:r>
      <w:r w:rsidR="00CA2533" w:rsidRPr="003217DC">
        <w:rPr>
          <w:rFonts w:ascii="Arial" w:eastAsia="Times New Roman" w:hAnsi="Arial" w:cs="Arial"/>
          <w:sz w:val="20"/>
          <w:szCs w:val="20"/>
        </w:rPr>
        <w:t>) contratação de projetos; (</w:t>
      </w:r>
      <w:r w:rsidR="00CA2533">
        <w:rPr>
          <w:rFonts w:ascii="Arial" w:eastAsia="Times New Roman" w:hAnsi="Arial" w:cs="Arial"/>
          <w:sz w:val="20"/>
          <w:szCs w:val="20"/>
        </w:rPr>
        <w:t>i</w:t>
      </w:r>
      <w:r w:rsidR="00CA2533" w:rsidRPr="003217DC">
        <w:rPr>
          <w:rFonts w:ascii="Arial" w:eastAsia="Times New Roman" w:hAnsi="Arial" w:cs="Arial"/>
          <w:sz w:val="20"/>
          <w:szCs w:val="20"/>
        </w:rPr>
        <w:t xml:space="preserve">v) contratação de </w:t>
      </w:r>
      <w:r w:rsidR="00CA2533">
        <w:rPr>
          <w:rFonts w:ascii="Arial" w:eastAsia="Times New Roman" w:hAnsi="Arial" w:cs="Arial"/>
          <w:sz w:val="20"/>
          <w:szCs w:val="20"/>
        </w:rPr>
        <w:t>empresa</w:t>
      </w:r>
      <w:r w:rsidR="00CA2533" w:rsidRPr="003217DC">
        <w:rPr>
          <w:rFonts w:ascii="Arial" w:eastAsia="Times New Roman" w:hAnsi="Arial" w:cs="Arial"/>
          <w:sz w:val="20"/>
          <w:szCs w:val="20"/>
        </w:rPr>
        <w:t>s</w:t>
      </w:r>
      <w:r w:rsidR="00CA2533">
        <w:rPr>
          <w:rFonts w:ascii="Arial" w:eastAsia="Times New Roman" w:hAnsi="Arial" w:cs="Arial"/>
          <w:sz w:val="20"/>
          <w:szCs w:val="20"/>
        </w:rPr>
        <w:t>;</w:t>
      </w:r>
      <w:r w:rsidR="00CA2533" w:rsidRPr="003217DC">
        <w:rPr>
          <w:rFonts w:ascii="Arial" w:eastAsia="Times New Roman" w:hAnsi="Arial" w:cs="Arial"/>
          <w:sz w:val="20"/>
          <w:szCs w:val="20"/>
        </w:rPr>
        <w:t xml:space="preserve"> </w:t>
      </w:r>
      <w:r w:rsidRPr="003217DC">
        <w:rPr>
          <w:rFonts w:ascii="Arial" w:eastAsia="Times New Roman" w:hAnsi="Arial" w:cs="Arial"/>
          <w:sz w:val="20"/>
          <w:szCs w:val="20"/>
        </w:rPr>
        <w:t>(</w:t>
      </w:r>
      <w:r w:rsidR="00CA2533">
        <w:rPr>
          <w:rFonts w:ascii="Arial" w:eastAsia="Times New Roman" w:hAnsi="Arial" w:cs="Arial"/>
          <w:sz w:val="20"/>
          <w:szCs w:val="20"/>
        </w:rPr>
        <w:t>v</w:t>
      </w:r>
      <w:r w:rsidRPr="003217DC">
        <w:rPr>
          <w:rFonts w:ascii="Arial" w:eastAsia="Times New Roman" w:hAnsi="Arial" w:cs="Arial"/>
          <w:sz w:val="20"/>
          <w:szCs w:val="20"/>
        </w:rPr>
        <w:t xml:space="preserve">) </w:t>
      </w:r>
      <w:r w:rsidR="00CA2533">
        <w:rPr>
          <w:rFonts w:ascii="Arial" w:eastAsia="Times New Roman" w:hAnsi="Arial" w:cs="Arial"/>
          <w:sz w:val="20"/>
          <w:szCs w:val="20"/>
        </w:rPr>
        <w:t>participação</w:t>
      </w:r>
      <w:r w:rsidRPr="003217DC">
        <w:rPr>
          <w:rFonts w:ascii="Arial" w:eastAsia="Times New Roman" w:hAnsi="Arial" w:cs="Arial"/>
          <w:sz w:val="20"/>
          <w:szCs w:val="20"/>
        </w:rPr>
        <w:t xml:space="preserve"> de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 em eventos; </w:t>
      </w:r>
      <w:r w:rsidR="00CA2533" w:rsidRPr="003217DC">
        <w:rPr>
          <w:rFonts w:ascii="Arial" w:eastAsia="Times New Roman" w:hAnsi="Arial" w:cs="Arial"/>
          <w:sz w:val="20"/>
          <w:szCs w:val="20"/>
        </w:rPr>
        <w:t>(vi) pedidos de Propriedade Intelectual (PI)</w:t>
      </w:r>
      <w:r w:rsidR="00CA2533">
        <w:rPr>
          <w:rFonts w:ascii="Arial" w:eastAsia="Times New Roman" w:hAnsi="Arial" w:cs="Arial"/>
          <w:sz w:val="20"/>
          <w:szCs w:val="20"/>
        </w:rPr>
        <w:t>;</w:t>
      </w:r>
      <w:r w:rsidR="000C15E1">
        <w:rPr>
          <w:rFonts w:ascii="Arial" w:eastAsia="Times New Roman" w:hAnsi="Arial" w:cs="Arial"/>
          <w:sz w:val="20"/>
          <w:szCs w:val="20"/>
        </w:rPr>
        <w:t>; (</w:t>
      </w:r>
      <w:proofErr w:type="spellStart"/>
      <w:r w:rsidR="000C15E1">
        <w:rPr>
          <w:rFonts w:ascii="Arial" w:eastAsia="Times New Roman" w:hAnsi="Arial" w:cs="Arial"/>
          <w:sz w:val="20"/>
          <w:szCs w:val="20"/>
        </w:rPr>
        <w:t>vii</w:t>
      </w:r>
      <w:proofErr w:type="spellEnd"/>
      <w:r w:rsidR="000C15E1">
        <w:rPr>
          <w:rFonts w:ascii="Arial" w:eastAsia="Times New Roman" w:hAnsi="Arial" w:cs="Arial"/>
          <w:sz w:val="20"/>
          <w:szCs w:val="20"/>
        </w:rPr>
        <w:t xml:space="preserve">) </w:t>
      </w:r>
      <w:r w:rsidRPr="003217DC">
        <w:rPr>
          <w:rFonts w:ascii="Arial" w:eastAsia="Times New Roman" w:hAnsi="Arial" w:cs="Arial"/>
          <w:sz w:val="20"/>
          <w:szCs w:val="20"/>
        </w:rPr>
        <w:t xml:space="preserve">taxa de sucesso de projetos; </w:t>
      </w:r>
      <w:r w:rsidR="00CA2533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395C70">
        <w:rPr>
          <w:rFonts w:ascii="Arial" w:eastAsia="Times New Roman" w:hAnsi="Arial" w:cs="Arial"/>
          <w:sz w:val="20"/>
          <w:szCs w:val="20"/>
        </w:rPr>
        <w:t>viii</w:t>
      </w:r>
      <w:proofErr w:type="spellEnd"/>
      <w:r w:rsidR="00CA2533">
        <w:rPr>
          <w:rFonts w:ascii="Arial" w:eastAsia="Times New Roman" w:hAnsi="Arial" w:cs="Arial"/>
          <w:sz w:val="20"/>
          <w:szCs w:val="20"/>
        </w:rPr>
        <w:t>) participação financeira das empresas no portfólio; (</w:t>
      </w:r>
      <w:proofErr w:type="spellStart"/>
      <w:r w:rsidR="00395C70">
        <w:rPr>
          <w:rFonts w:ascii="Arial" w:eastAsia="Times New Roman" w:hAnsi="Arial" w:cs="Arial"/>
          <w:sz w:val="20"/>
          <w:szCs w:val="20"/>
        </w:rPr>
        <w:t>i</w:t>
      </w:r>
      <w:r w:rsidR="00CA2533">
        <w:rPr>
          <w:rFonts w:ascii="Arial" w:eastAsia="Times New Roman" w:hAnsi="Arial" w:cs="Arial"/>
          <w:sz w:val="20"/>
          <w:szCs w:val="20"/>
        </w:rPr>
        <w:t>x</w:t>
      </w:r>
      <w:proofErr w:type="spellEnd"/>
      <w:r w:rsidR="00CA2533">
        <w:rPr>
          <w:rFonts w:ascii="Arial" w:eastAsia="Times New Roman" w:hAnsi="Arial" w:cs="Arial"/>
          <w:sz w:val="20"/>
          <w:szCs w:val="20"/>
        </w:rPr>
        <w:t>) taxa de sucesso de propostas técnicas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</w:p>
    <w:p w14:paraId="0D423539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007990" w14:textId="68B98466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As definições e forma de expressão desses indicadores são mostrados na aba respectiva</w:t>
      </w:r>
      <w:r w:rsidR="0053305B">
        <w:rPr>
          <w:rFonts w:ascii="Arial" w:eastAsia="Times New Roman" w:hAnsi="Arial" w:cs="Arial"/>
          <w:sz w:val="20"/>
          <w:szCs w:val="20"/>
        </w:rPr>
        <w:t xml:space="preserve"> da planilha de dados quantitativos</w:t>
      </w:r>
      <w:r w:rsidRPr="003217DC">
        <w:rPr>
          <w:rFonts w:ascii="Arial" w:eastAsia="Times New Roman" w:hAnsi="Arial" w:cs="Arial"/>
          <w:sz w:val="20"/>
          <w:szCs w:val="20"/>
        </w:rPr>
        <w:t>. Sobre eles cabem os seguintes esclarecimentos</w:t>
      </w:r>
      <w:r w:rsidR="0053305B">
        <w:rPr>
          <w:rFonts w:ascii="Arial" w:eastAsia="Times New Roman" w:hAnsi="Arial" w:cs="Arial"/>
          <w:sz w:val="20"/>
          <w:szCs w:val="20"/>
        </w:rPr>
        <w:t xml:space="preserve"> adicionais:</w:t>
      </w:r>
    </w:p>
    <w:p w14:paraId="6D446971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2EB437" w14:textId="2E750B74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Prospecção de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s: </w:t>
      </w:r>
      <w:r w:rsidR="0053305B" w:rsidRPr="003217DC">
        <w:rPr>
          <w:rFonts w:ascii="Arial" w:eastAsia="Times New Roman" w:hAnsi="Arial" w:cs="Arial"/>
          <w:sz w:val="20"/>
          <w:szCs w:val="20"/>
        </w:rPr>
        <w:t>trata-se da prospecção de potenciais clientes EMBRAPII (</w:t>
      </w:r>
      <w:r w:rsidR="0053305B">
        <w:rPr>
          <w:rFonts w:ascii="Arial" w:eastAsia="Times New Roman" w:hAnsi="Arial" w:cs="Arial"/>
          <w:sz w:val="20"/>
          <w:szCs w:val="20"/>
        </w:rPr>
        <w:t>empresa</w:t>
      </w:r>
      <w:r w:rsidR="0053305B" w:rsidRPr="003217DC">
        <w:rPr>
          <w:rFonts w:ascii="Arial" w:eastAsia="Times New Roman" w:hAnsi="Arial" w:cs="Arial"/>
          <w:sz w:val="20"/>
          <w:szCs w:val="20"/>
        </w:rPr>
        <w:t>s industriais), na área credenciada, com o objetivo de apresentar as competências</w:t>
      </w:r>
      <w:r w:rsidR="0053305B">
        <w:rPr>
          <w:rFonts w:ascii="Arial" w:eastAsia="Times New Roman" w:hAnsi="Arial" w:cs="Arial"/>
          <w:sz w:val="20"/>
          <w:szCs w:val="20"/>
        </w:rPr>
        <w:t xml:space="preserve"> e 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os resultados </w:t>
      </w:r>
      <w:r w:rsidR="0053305B">
        <w:rPr>
          <w:rFonts w:ascii="Arial" w:eastAsia="Times New Roman" w:hAnsi="Arial" w:cs="Arial"/>
          <w:sz w:val="20"/>
          <w:szCs w:val="20"/>
        </w:rPr>
        <w:t>já alcançados pela Unidade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 </w:t>
      </w:r>
      <w:r w:rsidR="0053305B">
        <w:rPr>
          <w:rFonts w:ascii="Arial" w:eastAsia="Times New Roman" w:hAnsi="Arial" w:cs="Arial"/>
          <w:sz w:val="20"/>
          <w:szCs w:val="20"/>
        </w:rPr>
        <w:t>credenciada em busca de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 oport</w:t>
      </w:r>
      <w:r w:rsidR="0053305B">
        <w:rPr>
          <w:rFonts w:ascii="Arial" w:eastAsia="Times New Roman" w:hAnsi="Arial" w:cs="Arial"/>
          <w:sz w:val="20"/>
          <w:szCs w:val="20"/>
        </w:rPr>
        <w:t>unidade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s para contratação de </w:t>
      </w:r>
      <w:r w:rsidR="0053305B">
        <w:rPr>
          <w:rFonts w:ascii="Arial" w:eastAsia="Times New Roman" w:hAnsi="Arial" w:cs="Arial"/>
          <w:sz w:val="20"/>
          <w:szCs w:val="20"/>
        </w:rPr>
        <w:t xml:space="preserve">novos 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projetos de </w:t>
      </w:r>
      <w:r w:rsidR="005330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  <w:r w:rsidR="0053305B">
        <w:rPr>
          <w:rFonts w:ascii="Arial" w:eastAsia="Times New Roman" w:hAnsi="Arial" w:cs="Arial"/>
          <w:sz w:val="20"/>
          <w:szCs w:val="20"/>
        </w:rPr>
        <w:t xml:space="preserve"> Ressalta-se que esse indicador enfatiza a prospecção ativa realizada pelo grupo credenciado, implicando, tipicamente, numa estratégia de visitas periódicas a potenciais clientes.</w:t>
      </w:r>
    </w:p>
    <w:p w14:paraId="02C45130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6B628C" w14:textId="2DA31628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Propostas técnicas: realizada a prospecção, trata-se de documento emitido pela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credenciada que formaliza uma oferta técnica e comercial para realização de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que atenda desafio(s) por inovação da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demandante.</w:t>
      </w:r>
    </w:p>
    <w:p w14:paraId="4BC2AAA2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18D4E8" w14:textId="00A4013E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Contratação de projetos: especifica o número de projetos EMBRAPII a serem contratados por ano</w:t>
      </w:r>
      <w:r w:rsidR="0053305B">
        <w:rPr>
          <w:rFonts w:ascii="Arial" w:eastAsia="Times New Roman" w:hAnsi="Arial" w:cs="Arial"/>
          <w:sz w:val="20"/>
          <w:szCs w:val="20"/>
        </w:rPr>
        <w:t xml:space="preserve"> considerando o número de prospecções realizadas e o número de propostas técnicas emitidas</w:t>
      </w:r>
      <w:r w:rsidRPr="003217DC">
        <w:rPr>
          <w:rFonts w:ascii="Arial" w:eastAsia="Times New Roman" w:hAnsi="Arial" w:cs="Arial"/>
          <w:sz w:val="20"/>
          <w:szCs w:val="20"/>
        </w:rPr>
        <w:t xml:space="preserve">. </w:t>
      </w:r>
      <w:r w:rsidR="0053305B">
        <w:rPr>
          <w:rFonts w:ascii="Arial" w:eastAsia="Times New Roman" w:hAnsi="Arial" w:cs="Arial"/>
          <w:sz w:val="20"/>
          <w:szCs w:val="20"/>
        </w:rPr>
        <w:t>Tomando</w:t>
      </w:r>
      <w:r w:rsidRPr="003217DC">
        <w:rPr>
          <w:rFonts w:ascii="Arial" w:eastAsia="Times New Roman" w:hAnsi="Arial" w:cs="Arial"/>
          <w:sz w:val="20"/>
          <w:szCs w:val="20"/>
        </w:rPr>
        <w:t xml:space="preserve"> o volume total de recursos previsto por ano</w:t>
      </w:r>
      <w:r w:rsidR="0053305B">
        <w:rPr>
          <w:rFonts w:ascii="Arial" w:eastAsia="Times New Roman" w:hAnsi="Arial" w:cs="Arial"/>
          <w:sz w:val="20"/>
          <w:szCs w:val="20"/>
        </w:rPr>
        <w:t xml:space="preserve"> no plano financeiro</w:t>
      </w:r>
      <w:r w:rsidRPr="003217DC">
        <w:rPr>
          <w:rFonts w:ascii="Arial" w:eastAsia="Times New Roman" w:hAnsi="Arial" w:cs="Arial"/>
          <w:sz w:val="20"/>
          <w:szCs w:val="20"/>
        </w:rPr>
        <w:t>, tem-se o valor médio dos projetos (</w:t>
      </w:r>
      <w:r w:rsidR="0053305B">
        <w:rPr>
          <w:rFonts w:ascii="Arial" w:eastAsia="Times New Roman" w:hAnsi="Arial" w:cs="Arial"/>
          <w:sz w:val="20"/>
          <w:szCs w:val="20"/>
        </w:rPr>
        <w:t xml:space="preserve">ticket médio em </w:t>
      </w:r>
      <w:r w:rsidRPr="003217DC">
        <w:rPr>
          <w:rFonts w:ascii="Arial" w:eastAsia="Times New Roman" w:hAnsi="Arial" w:cs="Arial"/>
          <w:sz w:val="20"/>
          <w:szCs w:val="20"/>
        </w:rPr>
        <w:t>R</w:t>
      </w:r>
      <w:r w:rsidR="0053305B">
        <w:rPr>
          <w:rFonts w:ascii="Arial" w:eastAsia="Times New Roman" w:hAnsi="Arial" w:cs="Arial"/>
          <w:sz w:val="20"/>
          <w:szCs w:val="20"/>
        </w:rPr>
        <w:t>eais</w:t>
      </w:r>
      <w:r w:rsidRPr="003217DC">
        <w:rPr>
          <w:rFonts w:ascii="Arial" w:eastAsia="Times New Roman" w:hAnsi="Arial" w:cs="Arial"/>
          <w:sz w:val="20"/>
          <w:szCs w:val="20"/>
        </w:rPr>
        <w:t xml:space="preserve">) que deve ser compatível com a experiência em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demonstrada pela candidata.</w:t>
      </w:r>
    </w:p>
    <w:p w14:paraId="01AC89C6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2E1AF7" w14:textId="3807DD48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Contratação de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s: refere-se ao número de </w:t>
      </w:r>
      <w:r w:rsidR="005453B7"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s com as quais a </w:t>
      </w:r>
      <w:r w:rsidR="0006255B"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contrata projetos de </w:t>
      </w:r>
      <w:r w:rsidR="0006255B">
        <w:rPr>
          <w:rFonts w:ascii="Arial" w:eastAsia="Times New Roman" w:hAnsi="Arial" w:cs="Arial"/>
          <w:sz w:val="20"/>
          <w:szCs w:val="20"/>
        </w:rPr>
        <w:t>PD&amp;I</w:t>
      </w:r>
      <w:r w:rsidRPr="003217DC">
        <w:rPr>
          <w:rFonts w:ascii="Arial" w:eastAsia="Times New Roman" w:hAnsi="Arial" w:cs="Arial"/>
          <w:sz w:val="20"/>
          <w:szCs w:val="20"/>
        </w:rPr>
        <w:t xml:space="preserve"> por ano. Este indicador mede a diversificação da carteira de clientes </w:t>
      </w:r>
      <w:r w:rsidR="00C950B3">
        <w:rPr>
          <w:rFonts w:ascii="Arial" w:eastAsia="Times New Roman" w:hAnsi="Arial" w:cs="Arial"/>
          <w:sz w:val="20"/>
          <w:szCs w:val="20"/>
        </w:rPr>
        <w:t xml:space="preserve"> (empresas)</w:t>
      </w:r>
      <w:r w:rsidR="00BC1FBA">
        <w:rPr>
          <w:rFonts w:ascii="Arial" w:eastAsia="Times New Roman" w:hAnsi="Arial" w:cs="Arial"/>
          <w:sz w:val="20"/>
          <w:szCs w:val="20"/>
        </w:rPr>
        <w:t xml:space="preserve">, lembrando que </w:t>
      </w:r>
      <w:r w:rsidR="00C950B3">
        <w:rPr>
          <w:rFonts w:ascii="Arial" w:eastAsia="Times New Roman" w:hAnsi="Arial" w:cs="Arial"/>
          <w:sz w:val="20"/>
          <w:szCs w:val="20"/>
        </w:rPr>
        <w:t xml:space="preserve">não é interesse da EMBRAPII o credenciamento visando </w:t>
      </w:r>
      <w:r w:rsidR="00C950B3" w:rsidRPr="00C950B3">
        <w:rPr>
          <w:rFonts w:ascii="Arial" w:eastAsia="Times New Roman" w:hAnsi="Arial" w:cs="Arial"/>
          <w:sz w:val="20"/>
          <w:szCs w:val="20"/>
        </w:rPr>
        <w:t xml:space="preserve">atividades </w:t>
      </w:r>
      <w:r w:rsidR="00C950B3">
        <w:rPr>
          <w:rFonts w:ascii="Arial" w:eastAsia="Times New Roman" w:hAnsi="Arial" w:cs="Arial"/>
          <w:sz w:val="20"/>
          <w:szCs w:val="20"/>
        </w:rPr>
        <w:t>de P&amp;D</w:t>
      </w:r>
      <w:r w:rsidR="00C950B3" w:rsidRPr="00C950B3">
        <w:rPr>
          <w:rFonts w:ascii="Arial" w:eastAsia="Times New Roman" w:hAnsi="Arial" w:cs="Arial"/>
          <w:sz w:val="20"/>
          <w:szCs w:val="20"/>
        </w:rPr>
        <w:t xml:space="preserve"> cativas </w:t>
      </w:r>
      <w:r w:rsidR="00C950B3">
        <w:rPr>
          <w:rFonts w:ascii="Arial" w:eastAsia="Times New Roman" w:hAnsi="Arial" w:cs="Arial"/>
          <w:sz w:val="20"/>
          <w:szCs w:val="20"/>
        </w:rPr>
        <w:t>a</w:t>
      </w:r>
      <w:r w:rsidR="00C950B3" w:rsidRPr="00C950B3">
        <w:rPr>
          <w:rFonts w:ascii="Arial" w:eastAsia="Times New Roman" w:hAnsi="Arial" w:cs="Arial"/>
          <w:sz w:val="20"/>
          <w:szCs w:val="20"/>
        </w:rPr>
        <w:t xml:space="preserve"> empresa ou grupo industrial</w:t>
      </w:r>
      <w:r w:rsidR="00C950B3">
        <w:rPr>
          <w:rFonts w:ascii="Arial" w:eastAsia="Times New Roman" w:hAnsi="Arial" w:cs="Arial"/>
          <w:sz w:val="20"/>
          <w:szCs w:val="20"/>
        </w:rPr>
        <w:t xml:space="preserve">, que </w:t>
      </w:r>
      <w:r w:rsidR="00C950B3" w:rsidRPr="00C950B3">
        <w:rPr>
          <w:rFonts w:ascii="Arial" w:eastAsia="Times New Roman" w:hAnsi="Arial" w:cs="Arial"/>
          <w:sz w:val="20"/>
          <w:szCs w:val="20"/>
        </w:rPr>
        <w:t xml:space="preserve">não demonstrarem amplo acesso </w:t>
      </w:r>
      <w:r w:rsidR="00C950B3">
        <w:rPr>
          <w:rFonts w:ascii="Arial" w:eastAsia="Times New Roman" w:hAnsi="Arial" w:cs="Arial"/>
          <w:sz w:val="20"/>
          <w:szCs w:val="20"/>
        </w:rPr>
        <w:t xml:space="preserve">do grupo candidato </w:t>
      </w:r>
      <w:r w:rsidR="00C950B3" w:rsidRPr="00C950B3">
        <w:rPr>
          <w:rFonts w:ascii="Arial" w:eastAsia="Times New Roman" w:hAnsi="Arial" w:cs="Arial"/>
          <w:sz w:val="20"/>
          <w:szCs w:val="20"/>
        </w:rPr>
        <w:t>ao mercado foco da proposta de credenciamento</w:t>
      </w:r>
      <w:r w:rsidRPr="003217DC">
        <w:rPr>
          <w:rFonts w:ascii="Arial" w:eastAsia="Times New Roman" w:hAnsi="Arial" w:cs="Arial"/>
          <w:sz w:val="20"/>
          <w:szCs w:val="20"/>
        </w:rPr>
        <w:t>.</w:t>
      </w:r>
    </w:p>
    <w:p w14:paraId="2ACD4BC1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7CF894" w14:textId="3E9380E1" w:rsidR="0053305B" w:rsidRPr="003217DC" w:rsidRDefault="00156904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Participação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 de </w:t>
      </w:r>
      <w:r w:rsidR="0053305B">
        <w:rPr>
          <w:rFonts w:ascii="Arial" w:eastAsia="Times New Roman" w:hAnsi="Arial" w:cs="Arial"/>
          <w:sz w:val="20"/>
          <w:szCs w:val="20"/>
        </w:rPr>
        <w:t>empresa</w:t>
      </w:r>
      <w:r w:rsidR="0053305B" w:rsidRPr="003217DC">
        <w:rPr>
          <w:rFonts w:ascii="Arial" w:eastAsia="Times New Roman" w:hAnsi="Arial" w:cs="Arial"/>
          <w:sz w:val="20"/>
          <w:szCs w:val="20"/>
        </w:rPr>
        <w:t>s em eventos: trata-se d</w:t>
      </w:r>
      <w:r>
        <w:rPr>
          <w:rFonts w:ascii="Arial" w:eastAsia="Times New Roman" w:hAnsi="Arial" w:cs="Arial"/>
          <w:sz w:val="20"/>
          <w:szCs w:val="20"/>
        </w:rPr>
        <w:t>e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 prospecção </w:t>
      </w:r>
      <w:r>
        <w:rPr>
          <w:rFonts w:ascii="Arial" w:eastAsia="Times New Roman" w:hAnsi="Arial" w:cs="Arial"/>
          <w:sz w:val="20"/>
          <w:szCs w:val="20"/>
        </w:rPr>
        <w:t>análoga à anteriormente discutida,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porém realizada em eventos de natureza técnico-comercial</w:t>
      </w:r>
      <w:r w:rsidR="0053305B" w:rsidRPr="003217DC">
        <w:rPr>
          <w:rFonts w:ascii="Arial" w:eastAsia="Times New Roman" w:hAnsi="Arial" w:cs="Arial"/>
          <w:sz w:val="20"/>
          <w:szCs w:val="20"/>
        </w:rPr>
        <w:t xml:space="preserve"> na área credenciada</w:t>
      </w:r>
      <w:r>
        <w:rPr>
          <w:rFonts w:ascii="Arial" w:eastAsia="Times New Roman" w:hAnsi="Arial" w:cs="Arial"/>
          <w:sz w:val="20"/>
          <w:szCs w:val="20"/>
        </w:rPr>
        <w:t>. Esta</w:t>
      </w:r>
      <w:r w:rsidR="002307AF">
        <w:rPr>
          <w:rFonts w:ascii="Arial" w:eastAsia="Times New Roman" w:hAnsi="Arial" w:cs="Arial"/>
          <w:sz w:val="20"/>
          <w:szCs w:val="20"/>
        </w:rPr>
        <w:t xml:space="preserve">s prospecções </w:t>
      </w:r>
      <w:r>
        <w:rPr>
          <w:rFonts w:ascii="Arial" w:eastAsia="Times New Roman" w:hAnsi="Arial" w:cs="Arial"/>
          <w:sz w:val="20"/>
          <w:szCs w:val="20"/>
        </w:rPr>
        <w:t>e indicador visa</w:t>
      </w:r>
      <w:r w:rsidR="002307AF"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</w:rPr>
        <w:t xml:space="preserve"> expor </w:t>
      </w:r>
      <w:r w:rsidR="002307AF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Unidade credenciada ao seu mercado foco</w:t>
      </w:r>
      <w:r w:rsidR="002307AF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em eventos com área correlata àquela pleiteada no credenciamento</w:t>
      </w:r>
      <w:r w:rsidR="0053305B" w:rsidRPr="003217DC">
        <w:rPr>
          <w:rFonts w:ascii="Arial" w:eastAsia="Times New Roman" w:hAnsi="Arial" w:cs="Arial"/>
          <w:sz w:val="20"/>
          <w:szCs w:val="20"/>
        </w:rPr>
        <w:t>.</w:t>
      </w:r>
      <w:r w:rsidR="0076708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8595387" w14:textId="77777777" w:rsidR="0053305B" w:rsidRPr="003217DC" w:rsidRDefault="0053305B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D41818" w14:textId="0AF9D5F4" w:rsidR="00FF6A18" w:rsidRDefault="00FF6A18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 xml:space="preserve">Pedidos de propriedade intelectual: trata-se das proteções de resultados e inovações desenvolvidas nos projetos EMBRAPII, sendo consideradas </w:t>
      </w:r>
      <w:r>
        <w:rPr>
          <w:rFonts w:ascii="Arial" w:eastAsia="Times New Roman" w:hAnsi="Arial" w:cs="Arial"/>
          <w:sz w:val="20"/>
          <w:szCs w:val="20"/>
        </w:rPr>
        <w:t xml:space="preserve">todas </w:t>
      </w:r>
      <w:r w:rsidRPr="003217DC">
        <w:rPr>
          <w:rFonts w:ascii="Arial" w:eastAsia="Times New Roman" w:hAnsi="Arial" w:cs="Arial"/>
          <w:sz w:val="20"/>
          <w:szCs w:val="20"/>
        </w:rPr>
        <w:t xml:space="preserve">as proteções depositadas pela </w:t>
      </w:r>
      <w:r>
        <w:rPr>
          <w:rFonts w:ascii="Arial" w:eastAsia="Times New Roman" w:hAnsi="Arial" w:cs="Arial"/>
          <w:sz w:val="20"/>
          <w:szCs w:val="20"/>
        </w:rPr>
        <w:t>Unidade</w:t>
      </w:r>
      <w:r w:rsidRPr="003217DC">
        <w:rPr>
          <w:rFonts w:ascii="Arial" w:eastAsia="Times New Roman" w:hAnsi="Arial" w:cs="Arial"/>
          <w:sz w:val="20"/>
          <w:szCs w:val="20"/>
        </w:rPr>
        <w:t xml:space="preserve"> EMBRAPII ou pela </w:t>
      </w:r>
      <w:r>
        <w:rPr>
          <w:rFonts w:ascii="Arial" w:eastAsia="Times New Roman" w:hAnsi="Arial" w:cs="Arial"/>
          <w:sz w:val="20"/>
          <w:szCs w:val="20"/>
        </w:rPr>
        <w:t>Empresa</w:t>
      </w:r>
      <w:r w:rsidRPr="003217DC">
        <w:rPr>
          <w:rFonts w:ascii="Arial" w:eastAsia="Times New Roman" w:hAnsi="Arial" w:cs="Arial"/>
          <w:sz w:val="20"/>
          <w:szCs w:val="20"/>
        </w:rPr>
        <w:t xml:space="preserve"> contratante do projeto, no Brasil e/ou no exterior</w:t>
      </w:r>
      <w:r>
        <w:rPr>
          <w:rFonts w:ascii="Arial" w:eastAsia="Times New Roman" w:hAnsi="Arial" w:cs="Arial"/>
          <w:sz w:val="20"/>
          <w:szCs w:val="20"/>
        </w:rPr>
        <w:t xml:space="preserve">, desde que associada ao projeto desenvolvimento e que </w:t>
      </w:r>
      <w:r w:rsidRPr="003217DC">
        <w:rPr>
          <w:rFonts w:ascii="Arial" w:eastAsia="Times New Roman" w:hAnsi="Arial" w:cs="Arial"/>
          <w:sz w:val="20"/>
          <w:szCs w:val="20"/>
        </w:rPr>
        <w:t xml:space="preserve">o primeiro protocolo </w:t>
      </w:r>
      <w:r>
        <w:rPr>
          <w:rFonts w:ascii="Arial" w:eastAsia="Times New Roman" w:hAnsi="Arial" w:cs="Arial"/>
          <w:sz w:val="20"/>
          <w:szCs w:val="20"/>
        </w:rPr>
        <w:t xml:space="preserve">seja </w:t>
      </w:r>
      <w:r w:rsidRPr="003217DC">
        <w:rPr>
          <w:rFonts w:ascii="Arial" w:eastAsia="Times New Roman" w:hAnsi="Arial" w:cs="Arial"/>
          <w:sz w:val="20"/>
          <w:szCs w:val="20"/>
        </w:rPr>
        <w:t>realizado no Brasil.</w:t>
      </w:r>
    </w:p>
    <w:p w14:paraId="6ABAD887" w14:textId="77777777" w:rsidR="00FF6A18" w:rsidRDefault="00FF6A18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9C45CE" w14:textId="1B3601F5" w:rsidR="00FF6A18" w:rsidRPr="00FF6A18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17DC">
        <w:rPr>
          <w:rFonts w:ascii="Arial" w:eastAsia="Times New Roman" w:hAnsi="Arial" w:cs="Arial"/>
          <w:sz w:val="20"/>
          <w:szCs w:val="20"/>
        </w:rPr>
        <w:t>Taxa de sucesso de projeto</w:t>
      </w:r>
      <w:r w:rsidR="00FF6A18">
        <w:rPr>
          <w:rFonts w:ascii="Arial" w:eastAsia="Times New Roman" w:hAnsi="Arial" w:cs="Arial"/>
          <w:sz w:val="20"/>
          <w:szCs w:val="20"/>
        </w:rPr>
        <w:t>s</w:t>
      </w:r>
      <w:r w:rsidRPr="003217DC">
        <w:rPr>
          <w:rFonts w:ascii="Arial" w:eastAsia="Times New Roman" w:hAnsi="Arial" w:cs="Arial"/>
          <w:sz w:val="20"/>
          <w:szCs w:val="20"/>
        </w:rPr>
        <w:t xml:space="preserve">: </w:t>
      </w:r>
      <w:r w:rsidR="00FF6A18">
        <w:rPr>
          <w:rFonts w:ascii="Arial" w:eastAsia="Times New Roman" w:hAnsi="Arial" w:cs="Arial"/>
          <w:sz w:val="20"/>
          <w:szCs w:val="20"/>
        </w:rPr>
        <w:t>medida da s</w:t>
      </w:r>
      <w:r w:rsidR="00FF6A18" w:rsidRPr="00FF6A18">
        <w:rPr>
          <w:rFonts w:ascii="Arial" w:eastAsia="Times New Roman" w:hAnsi="Arial" w:cs="Arial"/>
          <w:sz w:val="20"/>
          <w:szCs w:val="20"/>
        </w:rPr>
        <w:t xml:space="preserve">atisfação das empresas em relação </w:t>
      </w:r>
      <w:r w:rsidR="00FF6A18">
        <w:rPr>
          <w:rFonts w:ascii="Arial" w:eastAsia="Times New Roman" w:hAnsi="Arial" w:cs="Arial"/>
          <w:sz w:val="20"/>
          <w:szCs w:val="20"/>
        </w:rPr>
        <w:t xml:space="preserve">aos projetos desenvolvidos pela Unidade credenciada, considerando </w:t>
      </w:r>
      <w:r w:rsidR="00FF6A18" w:rsidRPr="00FF6A18">
        <w:rPr>
          <w:rFonts w:ascii="Arial" w:eastAsia="Times New Roman" w:hAnsi="Arial" w:cs="Arial"/>
          <w:sz w:val="20"/>
          <w:szCs w:val="20"/>
        </w:rPr>
        <w:t>o escopo dos projetos, prazos, custos, entregas, relevância dos resultados, competência técnica da Unidade, inovação desenvolvida, gestão de projetos e contribuição às competências da empresa</w:t>
      </w:r>
      <w:r w:rsidR="00FF6A18">
        <w:rPr>
          <w:rFonts w:ascii="Arial" w:eastAsia="Times New Roman" w:hAnsi="Arial" w:cs="Arial"/>
          <w:sz w:val="20"/>
          <w:szCs w:val="20"/>
        </w:rPr>
        <w:t xml:space="preserve">. Estes resultados são </w:t>
      </w:r>
      <w:r w:rsidR="00FF6A18" w:rsidRPr="00FF6A18">
        <w:rPr>
          <w:rFonts w:ascii="Arial" w:eastAsia="Times New Roman" w:hAnsi="Arial" w:cs="Arial"/>
          <w:sz w:val="20"/>
          <w:szCs w:val="20"/>
        </w:rPr>
        <w:t>avaliad</w:t>
      </w:r>
      <w:r w:rsidR="00FF6A18">
        <w:rPr>
          <w:rFonts w:ascii="Arial" w:eastAsia="Times New Roman" w:hAnsi="Arial" w:cs="Arial"/>
          <w:sz w:val="20"/>
          <w:szCs w:val="20"/>
        </w:rPr>
        <w:t>os</w:t>
      </w:r>
      <w:r w:rsidR="00FF6A18" w:rsidRPr="00FF6A18">
        <w:rPr>
          <w:rFonts w:ascii="Arial" w:eastAsia="Times New Roman" w:hAnsi="Arial" w:cs="Arial"/>
          <w:sz w:val="20"/>
          <w:szCs w:val="20"/>
        </w:rPr>
        <w:t xml:space="preserve"> pela EMBRAPII </w:t>
      </w:r>
      <w:r w:rsidR="00FF6A18">
        <w:rPr>
          <w:rFonts w:ascii="Arial" w:eastAsia="Times New Roman" w:hAnsi="Arial" w:cs="Arial"/>
          <w:sz w:val="20"/>
          <w:szCs w:val="20"/>
        </w:rPr>
        <w:t xml:space="preserve">junto as </w:t>
      </w:r>
      <w:r w:rsidR="00FF6A18" w:rsidRPr="00FF6A18">
        <w:rPr>
          <w:rFonts w:ascii="Arial" w:eastAsia="Times New Roman" w:hAnsi="Arial" w:cs="Arial"/>
          <w:sz w:val="20"/>
          <w:szCs w:val="20"/>
        </w:rPr>
        <w:t xml:space="preserve">empresas contratantes </w:t>
      </w:r>
      <w:r w:rsidR="00FF6A18">
        <w:rPr>
          <w:rFonts w:ascii="Arial" w:eastAsia="Times New Roman" w:hAnsi="Arial" w:cs="Arial"/>
          <w:sz w:val="20"/>
          <w:szCs w:val="20"/>
        </w:rPr>
        <w:t>e confrontados com as expectativas de resultados propostas pelo grupo candidato</w:t>
      </w:r>
      <w:r w:rsidR="00FF6A18" w:rsidRPr="00FF6A18">
        <w:rPr>
          <w:rFonts w:ascii="Arial" w:eastAsia="Times New Roman" w:hAnsi="Arial" w:cs="Arial"/>
          <w:sz w:val="20"/>
          <w:szCs w:val="20"/>
        </w:rPr>
        <w:t xml:space="preserve">. </w:t>
      </w:r>
      <w:r w:rsidR="00FF6A18">
        <w:rPr>
          <w:rFonts w:ascii="Arial" w:eastAsia="Times New Roman" w:hAnsi="Arial" w:cs="Arial"/>
          <w:sz w:val="20"/>
          <w:szCs w:val="20"/>
        </w:rPr>
        <w:t>Os resultados da a</w:t>
      </w:r>
      <w:r w:rsidR="00FF6A18" w:rsidRPr="00FF6A18">
        <w:rPr>
          <w:rFonts w:ascii="Arial" w:eastAsia="Times New Roman" w:hAnsi="Arial" w:cs="Arial"/>
          <w:sz w:val="20"/>
          <w:szCs w:val="20"/>
        </w:rPr>
        <w:t xml:space="preserve">valiação </w:t>
      </w:r>
      <w:r w:rsidR="00FF6A18">
        <w:rPr>
          <w:rFonts w:ascii="Arial" w:eastAsia="Times New Roman" w:hAnsi="Arial" w:cs="Arial"/>
          <w:sz w:val="20"/>
          <w:szCs w:val="20"/>
        </w:rPr>
        <w:t xml:space="preserve">são </w:t>
      </w:r>
      <w:r w:rsidR="00FF6A18" w:rsidRPr="00FF6A18">
        <w:rPr>
          <w:rFonts w:ascii="Arial" w:eastAsia="Times New Roman" w:hAnsi="Arial" w:cs="Arial"/>
          <w:sz w:val="20"/>
          <w:szCs w:val="20"/>
        </w:rPr>
        <w:t>express</w:t>
      </w:r>
      <w:r w:rsidR="00FF6A18">
        <w:rPr>
          <w:rFonts w:ascii="Arial" w:eastAsia="Times New Roman" w:hAnsi="Arial" w:cs="Arial"/>
          <w:sz w:val="20"/>
          <w:szCs w:val="20"/>
        </w:rPr>
        <w:t>os</w:t>
      </w:r>
      <w:r w:rsidR="00FF6A18" w:rsidRPr="00FF6A18">
        <w:rPr>
          <w:rFonts w:ascii="Arial" w:eastAsia="Times New Roman" w:hAnsi="Arial" w:cs="Arial"/>
          <w:sz w:val="20"/>
          <w:szCs w:val="20"/>
        </w:rPr>
        <w:t xml:space="preserve"> em escala qualitativa de 5 pontos (1 a 5), sendo 1 “totalmente insatisfeito”, 5 “totalmente insatisfeito”, tendo 3 como caracterizador do nível suficiente</w:t>
      </w:r>
      <w:r w:rsidR="00FF6A18">
        <w:rPr>
          <w:rFonts w:ascii="Arial" w:eastAsia="Times New Roman" w:hAnsi="Arial" w:cs="Arial"/>
          <w:sz w:val="20"/>
          <w:szCs w:val="20"/>
        </w:rPr>
        <w:t xml:space="preserve"> para fins da avaliação EMBRAPII</w:t>
      </w:r>
      <w:r w:rsidR="00FF6A18" w:rsidRPr="00FF6A18">
        <w:rPr>
          <w:rFonts w:ascii="Arial" w:eastAsia="Times New Roman" w:hAnsi="Arial" w:cs="Arial"/>
          <w:sz w:val="20"/>
          <w:szCs w:val="20"/>
        </w:rPr>
        <w:t>.</w:t>
      </w:r>
      <w:r w:rsidR="005831F1">
        <w:rPr>
          <w:rFonts w:ascii="Arial" w:eastAsia="Times New Roman" w:hAnsi="Arial" w:cs="Arial"/>
          <w:sz w:val="20"/>
          <w:szCs w:val="20"/>
        </w:rPr>
        <w:t xml:space="preserve"> Este indicador é apurado cumulativamente ao longo de todo o credenciamento.</w:t>
      </w:r>
    </w:p>
    <w:p w14:paraId="7EF5E271" w14:textId="77777777" w:rsidR="005831F1" w:rsidRDefault="005831F1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D5D846" w14:textId="05FC9B93" w:rsidR="005831F1" w:rsidRDefault="005831F1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Participação financeira das empresas no portfólio</w:t>
      </w:r>
      <w:r w:rsidRPr="003217DC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>r</w:t>
      </w:r>
      <w:r w:rsidRPr="005831F1">
        <w:rPr>
          <w:rFonts w:ascii="Arial" w:eastAsia="Times New Roman" w:hAnsi="Arial" w:cs="Arial"/>
          <w:sz w:val="20"/>
          <w:szCs w:val="20"/>
        </w:rPr>
        <w:t>elação entre o volume de recursos financeiros aportados pelas empresas nos projetos EMBRAPII e o valor total dos mesmos projetos, estes últimos considerando recursos financeiros e não financeiros</w:t>
      </w:r>
      <w:r>
        <w:rPr>
          <w:rFonts w:ascii="Arial" w:eastAsia="Times New Roman" w:hAnsi="Arial" w:cs="Arial"/>
          <w:sz w:val="20"/>
          <w:szCs w:val="20"/>
        </w:rPr>
        <w:t xml:space="preserve">. Este indicador </w:t>
      </w:r>
      <w:r w:rsidR="00D36E5C">
        <w:rPr>
          <w:rFonts w:ascii="Arial" w:eastAsia="Times New Roman" w:hAnsi="Arial" w:cs="Arial"/>
          <w:sz w:val="20"/>
          <w:szCs w:val="20"/>
        </w:rPr>
        <w:t xml:space="preserve">está diretamente </w:t>
      </w:r>
      <w:r w:rsidR="00D36E5C">
        <w:rPr>
          <w:rFonts w:ascii="Arial" w:eastAsia="Times New Roman" w:hAnsi="Arial" w:cs="Arial"/>
          <w:sz w:val="20"/>
          <w:szCs w:val="20"/>
        </w:rPr>
        <w:lastRenderedPageBreak/>
        <w:t xml:space="preserve">associado ao plano financeiro proposto nos dados quantitativos, sendo </w:t>
      </w:r>
      <w:r>
        <w:rPr>
          <w:rFonts w:ascii="Arial" w:eastAsia="Times New Roman" w:hAnsi="Arial" w:cs="Arial"/>
          <w:sz w:val="20"/>
          <w:szCs w:val="20"/>
        </w:rPr>
        <w:t>a</w:t>
      </w:r>
      <w:r w:rsidR="00D36E5C">
        <w:rPr>
          <w:rFonts w:ascii="Arial" w:eastAsia="Times New Roman" w:hAnsi="Arial" w:cs="Arial"/>
          <w:sz w:val="20"/>
          <w:szCs w:val="20"/>
        </w:rPr>
        <w:t>purado cumulativamente ao longo de todo o credenciamento.</w:t>
      </w:r>
    </w:p>
    <w:p w14:paraId="46E90921" w14:textId="75100FB3" w:rsidR="00F15145" w:rsidRDefault="00F15145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80618D" w14:textId="59BA41CC" w:rsidR="009A4927" w:rsidRPr="00FF6A18" w:rsidRDefault="00F15145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Taxa de s</w:t>
      </w:r>
      <w:r w:rsidR="0092798E"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>cesso</w:t>
      </w:r>
      <w:r w:rsidR="0092798E">
        <w:rPr>
          <w:rFonts w:ascii="Arial" w:eastAsia="Times New Roman" w:hAnsi="Arial" w:cs="Arial"/>
          <w:sz w:val="20"/>
          <w:szCs w:val="20"/>
        </w:rPr>
        <w:t xml:space="preserve"> de propostas técnicas</w:t>
      </w:r>
      <w:r w:rsidRPr="003217DC">
        <w:rPr>
          <w:rFonts w:ascii="Arial" w:eastAsia="Times New Roman" w:hAnsi="Arial" w:cs="Arial"/>
          <w:sz w:val="20"/>
          <w:szCs w:val="20"/>
        </w:rPr>
        <w:t xml:space="preserve">: </w:t>
      </w:r>
      <w:r w:rsidR="009A4927">
        <w:rPr>
          <w:rFonts w:ascii="Arial" w:eastAsia="Times New Roman" w:hAnsi="Arial" w:cs="Arial"/>
          <w:sz w:val="20"/>
          <w:szCs w:val="20"/>
        </w:rPr>
        <w:t>r</w:t>
      </w:r>
      <w:r w:rsidR="0092798E" w:rsidRPr="0092798E">
        <w:rPr>
          <w:rFonts w:ascii="Arial" w:eastAsia="Times New Roman" w:hAnsi="Arial" w:cs="Arial"/>
          <w:sz w:val="20"/>
          <w:szCs w:val="20"/>
        </w:rPr>
        <w:t>elação entre o número de projetos contratados e o número total de propostas técnicas elaboradas pela Unidade</w:t>
      </w:r>
      <w:r w:rsidR="009A4927">
        <w:rPr>
          <w:rFonts w:ascii="Arial" w:eastAsia="Times New Roman" w:hAnsi="Arial" w:cs="Arial"/>
          <w:sz w:val="20"/>
          <w:szCs w:val="20"/>
        </w:rPr>
        <w:t xml:space="preserve"> credenciada. Este indicador é apurado cumulativamente ao longo de todo o credenciamento</w:t>
      </w:r>
      <w:r w:rsidR="00B5322C">
        <w:rPr>
          <w:rFonts w:ascii="Arial" w:eastAsia="Times New Roman" w:hAnsi="Arial" w:cs="Arial"/>
          <w:sz w:val="20"/>
          <w:szCs w:val="20"/>
        </w:rPr>
        <w:t xml:space="preserve"> e coleta de informações é realizada ao término de cada projeto</w:t>
      </w:r>
      <w:r w:rsidR="009A4927">
        <w:rPr>
          <w:rFonts w:ascii="Arial" w:eastAsia="Times New Roman" w:hAnsi="Arial" w:cs="Arial"/>
          <w:sz w:val="20"/>
          <w:szCs w:val="20"/>
        </w:rPr>
        <w:t>.</w:t>
      </w:r>
    </w:p>
    <w:p w14:paraId="196C8C3C" w14:textId="542B2A46" w:rsidR="0092798E" w:rsidRDefault="0092798E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912322" w14:textId="7D89A4BD" w:rsidR="00F15145" w:rsidRDefault="009A4927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Finalmente, destaca-se que o conjunto de indicadores expressam os resultados mínimos esperados da Unidade credenciada durante o credenciamento.</w:t>
      </w:r>
    </w:p>
    <w:p w14:paraId="15ECDB8C" w14:textId="1736DCDD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AF4953" w14:textId="77777777" w:rsidR="003217DC" w:rsidRPr="003217DC" w:rsidRDefault="003217DC" w:rsidP="00CE76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57E503" w14:textId="7D9791FA" w:rsidR="002A7BA8" w:rsidRPr="00CE76F1" w:rsidRDefault="003217DC" w:rsidP="00CE76F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3217DC">
        <w:rPr>
          <w:rFonts w:ascii="Arial" w:eastAsia="Times New Roman" w:hAnsi="Arial" w:cs="Arial"/>
          <w:sz w:val="20"/>
          <w:szCs w:val="20"/>
        </w:rPr>
        <w:t>== # ==</w:t>
      </w:r>
    </w:p>
    <w:sectPr w:rsidR="002A7BA8" w:rsidRPr="00CE76F1" w:rsidSect="006663A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BCBD" w14:textId="77777777" w:rsidR="009919DD" w:rsidRDefault="009919DD" w:rsidP="00161E2C">
      <w:pPr>
        <w:spacing w:after="0" w:line="240" w:lineRule="auto"/>
      </w:pPr>
      <w:r>
        <w:separator/>
      </w:r>
    </w:p>
  </w:endnote>
  <w:endnote w:type="continuationSeparator" w:id="0">
    <w:p w14:paraId="5AB12818" w14:textId="77777777" w:rsidR="009919DD" w:rsidRDefault="009919DD" w:rsidP="0016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8A02" w14:textId="77777777" w:rsidR="0006255B" w:rsidRDefault="0006255B" w:rsidP="00E155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E5724D" w14:textId="77777777" w:rsidR="0006255B" w:rsidRDefault="0006255B" w:rsidP="002B41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F8D2" w14:textId="77777777" w:rsidR="0006255B" w:rsidRDefault="0006255B" w:rsidP="00CE76F1">
    <w:pPr>
      <w:pStyle w:val="Rodap"/>
      <w:framePr w:w="609" w:wrap="around" w:vAnchor="text" w:hAnchor="page" w:x="9570" w:y="-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3914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 \* MERGEFORMAT </w:instrText>
    </w:r>
    <w:r>
      <w:rPr>
        <w:rStyle w:val="Nmerodepgina"/>
      </w:rPr>
      <w:fldChar w:fldCharType="separate"/>
    </w:r>
    <w:r w:rsidR="0049391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4E66F60" w14:textId="624A7887" w:rsidR="0006255B" w:rsidRPr="00CE76F1" w:rsidRDefault="00CE76F1" w:rsidP="002B411F">
    <w:pPr>
      <w:pStyle w:val="Rodap"/>
      <w:ind w:left="-851" w:right="360"/>
      <w:rPr>
        <w:i/>
        <w:sz w:val="18"/>
      </w:rPr>
    </w:pPr>
    <w:r>
      <w:t xml:space="preserve">                 </w:t>
    </w:r>
    <w:r w:rsidRPr="00CE76F1">
      <w:rPr>
        <w:i/>
        <w:sz w:val="18"/>
      </w:rPr>
      <w:t xml:space="preserve">Revisão de </w:t>
    </w:r>
    <w:r w:rsidR="001418DF">
      <w:rPr>
        <w:i/>
        <w:sz w:val="18"/>
      </w:rPr>
      <w:t>21</w:t>
    </w:r>
    <w:r w:rsidRPr="00CE76F1">
      <w:rPr>
        <w:i/>
        <w:sz w:val="18"/>
      </w:rPr>
      <w:t>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1EBBF" w14:textId="77777777" w:rsidR="009919DD" w:rsidRDefault="009919DD" w:rsidP="00161E2C">
      <w:pPr>
        <w:spacing w:after="0" w:line="240" w:lineRule="auto"/>
      </w:pPr>
      <w:r>
        <w:separator/>
      </w:r>
    </w:p>
  </w:footnote>
  <w:footnote w:type="continuationSeparator" w:id="0">
    <w:p w14:paraId="46FC829D" w14:textId="77777777" w:rsidR="009919DD" w:rsidRDefault="009919DD" w:rsidP="0016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6DEB" w14:textId="29A2EA9C" w:rsidR="0006255B" w:rsidRPr="00CE76F1" w:rsidRDefault="0006255B" w:rsidP="00CE76F1">
    <w:pPr>
      <w:pStyle w:val="Cabealho"/>
      <w:ind w:left="-567"/>
      <w:rPr>
        <w:b/>
        <w:i/>
      </w:rPr>
    </w:pPr>
    <w:r w:rsidRPr="003217DC">
      <w:rPr>
        <w:b/>
        <w:i/>
        <w:noProof/>
        <w:lang w:val="en-US"/>
      </w:rPr>
      <w:drawing>
        <wp:inline distT="0" distB="0" distL="0" distR="0" wp14:anchorId="2DA80471" wp14:editId="3B245FFA">
          <wp:extent cx="1356107" cy="564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6" t="-1005" r="46568" b="1005"/>
                  <a:stretch/>
                </pic:blipFill>
                <pic:spPr bwMode="auto">
                  <a:xfrm>
                    <a:off x="0" y="0"/>
                    <a:ext cx="1356107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217DC">
      <w:rPr>
        <w:b/>
        <w:i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258"/>
    <w:multiLevelType w:val="hybridMultilevel"/>
    <w:tmpl w:val="4CB07B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3A1"/>
    <w:multiLevelType w:val="hybridMultilevel"/>
    <w:tmpl w:val="2B56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A98"/>
    <w:multiLevelType w:val="hybridMultilevel"/>
    <w:tmpl w:val="AE048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D0F66"/>
    <w:multiLevelType w:val="hybridMultilevel"/>
    <w:tmpl w:val="F30EF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B55FA"/>
    <w:multiLevelType w:val="hybridMultilevel"/>
    <w:tmpl w:val="6E588C70"/>
    <w:lvl w:ilvl="0" w:tplc="0416000F">
      <w:start w:val="1"/>
      <w:numFmt w:val="decimal"/>
      <w:lvlText w:val="%1."/>
      <w:lvlJc w:val="left"/>
      <w:pPr>
        <w:ind w:left="752" w:hanging="360"/>
      </w:pPr>
    </w:lvl>
    <w:lvl w:ilvl="1" w:tplc="04160019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1EA566DE"/>
    <w:multiLevelType w:val="hybridMultilevel"/>
    <w:tmpl w:val="27C2B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4468CF"/>
    <w:multiLevelType w:val="hybridMultilevel"/>
    <w:tmpl w:val="2648ED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81A2A"/>
    <w:multiLevelType w:val="hybridMultilevel"/>
    <w:tmpl w:val="57C451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336F0E"/>
    <w:multiLevelType w:val="hybridMultilevel"/>
    <w:tmpl w:val="688EA0A8"/>
    <w:lvl w:ilvl="0" w:tplc="0416001B">
      <w:start w:val="1"/>
      <w:numFmt w:val="low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0171"/>
    <w:multiLevelType w:val="hybridMultilevel"/>
    <w:tmpl w:val="E7541C9A"/>
    <w:lvl w:ilvl="0" w:tplc="3F2248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1050"/>
    <w:multiLevelType w:val="hybridMultilevel"/>
    <w:tmpl w:val="5E28A394"/>
    <w:lvl w:ilvl="0" w:tplc="2B1C1A38">
      <w:start w:val="1"/>
      <w:numFmt w:val="lowerRoman"/>
      <w:lvlText w:val="(%1)"/>
      <w:lvlJc w:val="left"/>
      <w:pPr>
        <w:ind w:left="107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30C30"/>
    <w:multiLevelType w:val="hybridMultilevel"/>
    <w:tmpl w:val="859411C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EA40AE"/>
    <w:multiLevelType w:val="hybridMultilevel"/>
    <w:tmpl w:val="62C6DBE2"/>
    <w:lvl w:ilvl="0" w:tplc="2DB4B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43A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521D99"/>
    <w:multiLevelType w:val="hybridMultilevel"/>
    <w:tmpl w:val="6E24C1F2"/>
    <w:lvl w:ilvl="0" w:tplc="506236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5079"/>
    <w:multiLevelType w:val="hybridMultilevel"/>
    <w:tmpl w:val="72467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E106C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256AFE"/>
    <w:multiLevelType w:val="hybridMultilevel"/>
    <w:tmpl w:val="92F2D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C425A" w:tentative="1">
      <w:start w:val="1"/>
      <w:numFmt w:val="lowerLetter"/>
      <w:lvlText w:val="%2."/>
      <w:lvlJc w:val="left"/>
      <w:pPr>
        <w:ind w:left="1440" w:hanging="360"/>
      </w:pPr>
    </w:lvl>
    <w:lvl w:ilvl="2" w:tplc="CAFE2920" w:tentative="1">
      <w:start w:val="1"/>
      <w:numFmt w:val="lowerRoman"/>
      <w:lvlText w:val="%3."/>
      <w:lvlJc w:val="right"/>
      <w:pPr>
        <w:ind w:left="2160" w:hanging="180"/>
      </w:pPr>
    </w:lvl>
    <w:lvl w:ilvl="3" w:tplc="0316B1CC" w:tentative="1">
      <w:start w:val="1"/>
      <w:numFmt w:val="decimal"/>
      <w:lvlText w:val="%4."/>
      <w:lvlJc w:val="left"/>
      <w:pPr>
        <w:ind w:left="2880" w:hanging="360"/>
      </w:pPr>
    </w:lvl>
    <w:lvl w:ilvl="4" w:tplc="673A859E" w:tentative="1">
      <w:start w:val="1"/>
      <w:numFmt w:val="lowerLetter"/>
      <w:lvlText w:val="%5."/>
      <w:lvlJc w:val="left"/>
      <w:pPr>
        <w:ind w:left="3600" w:hanging="360"/>
      </w:pPr>
    </w:lvl>
    <w:lvl w:ilvl="5" w:tplc="8AEABE9E" w:tentative="1">
      <w:start w:val="1"/>
      <w:numFmt w:val="lowerRoman"/>
      <w:lvlText w:val="%6."/>
      <w:lvlJc w:val="right"/>
      <w:pPr>
        <w:ind w:left="4320" w:hanging="180"/>
      </w:pPr>
    </w:lvl>
    <w:lvl w:ilvl="6" w:tplc="6C4E4AD6" w:tentative="1">
      <w:start w:val="1"/>
      <w:numFmt w:val="decimal"/>
      <w:lvlText w:val="%7."/>
      <w:lvlJc w:val="left"/>
      <w:pPr>
        <w:ind w:left="5040" w:hanging="360"/>
      </w:pPr>
    </w:lvl>
    <w:lvl w:ilvl="7" w:tplc="45CE4B4C" w:tentative="1">
      <w:start w:val="1"/>
      <w:numFmt w:val="lowerLetter"/>
      <w:lvlText w:val="%8."/>
      <w:lvlJc w:val="left"/>
      <w:pPr>
        <w:ind w:left="5760" w:hanging="360"/>
      </w:pPr>
    </w:lvl>
    <w:lvl w:ilvl="8" w:tplc="33A21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4148B"/>
    <w:multiLevelType w:val="hybridMultilevel"/>
    <w:tmpl w:val="9D4864EA"/>
    <w:lvl w:ilvl="0" w:tplc="24AEA60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E4C425A" w:tentative="1">
      <w:start w:val="1"/>
      <w:numFmt w:val="lowerLetter"/>
      <w:lvlText w:val="%2."/>
      <w:lvlJc w:val="left"/>
      <w:pPr>
        <w:ind w:left="1440" w:hanging="360"/>
      </w:pPr>
    </w:lvl>
    <w:lvl w:ilvl="2" w:tplc="CAFE2920" w:tentative="1">
      <w:start w:val="1"/>
      <w:numFmt w:val="lowerRoman"/>
      <w:lvlText w:val="%3."/>
      <w:lvlJc w:val="right"/>
      <w:pPr>
        <w:ind w:left="2160" w:hanging="180"/>
      </w:pPr>
    </w:lvl>
    <w:lvl w:ilvl="3" w:tplc="0316B1CC" w:tentative="1">
      <w:start w:val="1"/>
      <w:numFmt w:val="decimal"/>
      <w:lvlText w:val="%4."/>
      <w:lvlJc w:val="left"/>
      <w:pPr>
        <w:ind w:left="2880" w:hanging="360"/>
      </w:pPr>
    </w:lvl>
    <w:lvl w:ilvl="4" w:tplc="673A859E" w:tentative="1">
      <w:start w:val="1"/>
      <w:numFmt w:val="lowerLetter"/>
      <w:lvlText w:val="%5."/>
      <w:lvlJc w:val="left"/>
      <w:pPr>
        <w:ind w:left="3600" w:hanging="360"/>
      </w:pPr>
    </w:lvl>
    <w:lvl w:ilvl="5" w:tplc="8AEABE9E" w:tentative="1">
      <w:start w:val="1"/>
      <w:numFmt w:val="lowerRoman"/>
      <w:lvlText w:val="%6."/>
      <w:lvlJc w:val="right"/>
      <w:pPr>
        <w:ind w:left="4320" w:hanging="180"/>
      </w:pPr>
    </w:lvl>
    <w:lvl w:ilvl="6" w:tplc="6C4E4AD6" w:tentative="1">
      <w:start w:val="1"/>
      <w:numFmt w:val="decimal"/>
      <w:lvlText w:val="%7."/>
      <w:lvlJc w:val="left"/>
      <w:pPr>
        <w:ind w:left="5040" w:hanging="360"/>
      </w:pPr>
    </w:lvl>
    <w:lvl w:ilvl="7" w:tplc="45CE4B4C" w:tentative="1">
      <w:start w:val="1"/>
      <w:numFmt w:val="lowerLetter"/>
      <w:lvlText w:val="%8."/>
      <w:lvlJc w:val="left"/>
      <w:pPr>
        <w:ind w:left="5760" w:hanging="360"/>
      </w:pPr>
    </w:lvl>
    <w:lvl w:ilvl="8" w:tplc="33A21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E2E83"/>
    <w:multiLevelType w:val="hybridMultilevel"/>
    <w:tmpl w:val="17987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0C64DF"/>
    <w:multiLevelType w:val="hybridMultilevel"/>
    <w:tmpl w:val="311A15F8"/>
    <w:lvl w:ilvl="0" w:tplc="2B1C1A38">
      <w:start w:val="1"/>
      <w:numFmt w:val="lowerRoman"/>
      <w:lvlText w:val="(%1)"/>
      <w:lvlJc w:val="left"/>
      <w:pPr>
        <w:ind w:left="107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7B70BA9"/>
    <w:multiLevelType w:val="hybridMultilevel"/>
    <w:tmpl w:val="EB98B77E"/>
    <w:lvl w:ilvl="0" w:tplc="04160001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952D4"/>
    <w:multiLevelType w:val="hybridMultilevel"/>
    <w:tmpl w:val="DC589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C425A" w:tentative="1">
      <w:start w:val="1"/>
      <w:numFmt w:val="lowerLetter"/>
      <w:lvlText w:val="%2."/>
      <w:lvlJc w:val="left"/>
      <w:pPr>
        <w:ind w:left="1440" w:hanging="360"/>
      </w:pPr>
    </w:lvl>
    <w:lvl w:ilvl="2" w:tplc="CAFE2920" w:tentative="1">
      <w:start w:val="1"/>
      <w:numFmt w:val="lowerRoman"/>
      <w:lvlText w:val="%3."/>
      <w:lvlJc w:val="right"/>
      <w:pPr>
        <w:ind w:left="2160" w:hanging="180"/>
      </w:pPr>
    </w:lvl>
    <w:lvl w:ilvl="3" w:tplc="0316B1CC" w:tentative="1">
      <w:start w:val="1"/>
      <w:numFmt w:val="decimal"/>
      <w:lvlText w:val="%4."/>
      <w:lvlJc w:val="left"/>
      <w:pPr>
        <w:ind w:left="2880" w:hanging="360"/>
      </w:pPr>
    </w:lvl>
    <w:lvl w:ilvl="4" w:tplc="673A859E" w:tentative="1">
      <w:start w:val="1"/>
      <w:numFmt w:val="lowerLetter"/>
      <w:lvlText w:val="%5."/>
      <w:lvlJc w:val="left"/>
      <w:pPr>
        <w:ind w:left="3600" w:hanging="360"/>
      </w:pPr>
    </w:lvl>
    <w:lvl w:ilvl="5" w:tplc="8AEABE9E" w:tentative="1">
      <w:start w:val="1"/>
      <w:numFmt w:val="lowerRoman"/>
      <w:lvlText w:val="%6."/>
      <w:lvlJc w:val="right"/>
      <w:pPr>
        <w:ind w:left="4320" w:hanging="180"/>
      </w:pPr>
    </w:lvl>
    <w:lvl w:ilvl="6" w:tplc="6C4E4AD6" w:tentative="1">
      <w:start w:val="1"/>
      <w:numFmt w:val="decimal"/>
      <w:lvlText w:val="%7."/>
      <w:lvlJc w:val="left"/>
      <w:pPr>
        <w:ind w:left="5040" w:hanging="360"/>
      </w:pPr>
    </w:lvl>
    <w:lvl w:ilvl="7" w:tplc="45CE4B4C" w:tentative="1">
      <w:start w:val="1"/>
      <w:numFmt w:val="lowerLetter"/>
      <w:lvlText w:val="%8."/>
      <w:lvlJc w:val="left"/>
      <w:pPr>
        <w:ind w:left="5760" w:hanging="360"/>
      </w:pPr>
    </w:lvl>
    <w:lvl w:ilvl="8" w:tplc="33A21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4"/>
  </w:num>
  <w:num w:numId="8">
    <w:abstractNumId w:val="18"/>
  </w:num>
  <w:num w:numId="9">
    <w:abstractNumId w:val="3"/>
  </w:num>
  <w:num w:numId="10">
    <w:abstractNumId w:val="23"/>
  </w:num>
  <w:num w:numId="11">
    <w:abstractNumId w:val="6"/>
  </w:num>
  <w:num w:numId="12">
    <w:abstractNumId w:val="22"/>
  </w:num>
  <w:num w:numId="13">
    <w:abstractNumId w:val="10"/>
  </w:num>
  <w:num w:numId="14">
    <w:abstractNumId w:val="21"/>
  </w:num>
  <w:num w:numId="15">
    <w:abstractNumId w:val="11"/>
  </w:num>
  <w:num w:numId="16">
    <w:abstractNumId w:val="20"/>
  </w:num>
  <w:num w:numId="17">
    <w:abstractNumId w:val="24"/>
  </w:num>
  <w:num w:numId="18">
    <w:abstractNumId w:val="16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9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3E"/>
    <w:rsid w:val="00006DF2"/>
    <w:rsid w:val="00015941"/>
    <w:rsid w:val="0001604F"/>
    <w:rsid w:val="00022E7B"/>
    <w:rsid w:val="00023001"/>
    <w:rsid w:val="000416D2"/>
    <w:rsid w:val="00042D17"/>
    <w:rsid w:val="00047274"/>
    <w:rsid w:val="000475C6"/>
    <w:rsid w:val="0005644E"/>
    <w:rsid w:val="00060036"/>
    <w:rsid w:val="0006255B"/>
    <w:rsid w:val="00067B29"/>
    <w:rsid w:val="00075AF3"/>
    <w:rsid w:val="00076F83"/>
    <w:rsid w:val="00085D8D"/>
    <w:rsid w:val="00097B67"/>
    <w:rsid w:val="000A4D3B"/>
    <w:rsid w:val="000A5F6D"/>
    <w:rsid w:val="000A7D97"/>
    <w:rsid w:val="000B0B9C"/>
    <w:rsid w:val="000B707E"/>
    <w:rsid w:val="000C14B6"/>
    <w:rsid w:val="000C15E1"/>
    <w:rsid w:val="000C1708"/>
    <w:rsid w:val="000C305F"/>
    <w:rsid w:val="000C656B"/>
    <w:rsid w:val="000C7AD2"/>
    <w:rsid w:val="000D5B85"/>
    <w:rsid w:val="000F1AE7"/>
    <w:rsid w:val="000F58F0"/>
    <w:rsid w:val="00103BC7"/>
    <w:rsid w:val="001046AC"/>
    <w:rsid w:val="00122581"/>
    <w:rsid w:val="00125EEE"/>
    <w:rsid w:val="00127E49"/>
    <w:rsid w:val="0013318B"/>
    <w:rsid w:val="00133CB8"/>
    <w:rsid w:val="00140C99"/>
    <w:rsid w:val="001418DF"/>
    <w:rsid w:val="001461D5"/>
    <w:rsid w:val="001505F9"/>
    <w:rsid w:val="001524CF"/>
    <w:rsid w:val="00156904"/>
    <w:rsid w:val="00161CFD"/>
    <w:rsid w:val="00161E2C"/>
    <w:rsid w:val="00162903"/>
    <w:rsid w:val="001822C2"/>
    <w:rsid w:val="00187D9D"/>
    <w:rsid w:val="001935DE"/>
    <w:rsid w:val="00196068"/>
    <w:rsid w:val="001A3B59"/>
    <w:rsid w:val="001C15BB"/>
    <w:rsid w:val="001C5668"/>
    <w:rsid w:val="001C7A7D"/>
    <w:rsid w:val="001D19CC"/>
    <w:rsid w:val="001D42A2"/>
    <w:rsid w:val="001D5921"/>
    <w:rsid w:val="001D79A5"/>
    <w:rsid w:val="001F1259"/>
    <w:rsid w:val="001F4058"/>
    <w:rsid w:val="001F48FC"/>
    <w:rsid w:val="002021CC"/>
    <w:rsid w:val="002057EF"/>
    <w:rsid w:val="002079CF"/>
    <w:rsid w:val="00213D56"/>
    <w:rsid w:val="002145C1"/>
    <w:rsid w:val="00217BD4"/>
    <w:rsid w:val="00222B30"/>
    <w:rsid w:val="002307AF"/>
    <w:rsid w:val="00231720"/>
    <w:rsid w:val="002438E3"/>
    <w:rsid w:val="00295046"/>
    <w:rsid w:val="00295A73"/>
    <w:rsid w:val="002A4071"/>
    <w:rsid w:val="002A7BA8"/>
    <w:rsid w:val="002B084A"/>
    <w:rsid w:val="002B411F"/>
    <w:rsid w:val="002B673C"/>
    <w:rsid w:val="002C35BD"/>
    <w:rsid w:val="002D37A6"/>
    <w:rsid w:val="002D4F01"/>
    <w:rsid w:val="002E1F9F"/>
    <w:rsid w:val="002E5361"/>
    <w:rsid w:val="002E56E1"/>
    <w:rsid w:val="002F0040"/>
    <w:rsid w:val="002F4BB4"/>
    <w:rsid w:val="002F4F67"/>
    <w:rsid w:val="00301033"/>
    <w:rsid w:val="003217DC"/>
    <w:rsid w:val="00323D32"/>
    <w:rsid w:val="003467A5"/>
    <w:rsid w:val="00352A02"/>
    <w:rsid w:val="0035358D"/>
    <w:rsid w:val="00353D95"/>
    <w:rsid w:val="00360893"/>
    <w:rsid w:val="0036151E"/>
    <w:rsid w:val="003652B6"/>
    <w:rsid w:val="00366BB2"/>
    <w:rsid w:val="00374C84"/>
    <w:rsid w:val="0037597D"/>
    <w:rsid w:val="00381B80"/>
    <w:rsid w:val="00384DA2"/>
    <w:rsid w:val="00386F9D"/>
    <w:rsid w:val="00395C70"/>
    <w:rsid w:val="003A68BB"/>
    <w:rsid w:val="003B36B8"/>
    <w:rsid w:val="003B424A"/>
    <w:rsid w:val="003B4F92"/>
    <w:rsid w:val="003B6D9D"/>
    <w:rsid w:val="003C09BB"/>
    <w:rsid w:val="003C1D70"/>
    <w:rsid w:val="003C5ECF"/>
    <w:rsid w:val="003C6D2D"/>
    <w:rsid w:val="003D3907"/>
    <w:rsid w:val="003E077C"/>
    <w:rsid w:val="003E3173"/>
    <w:rsid w:val="003E7F89"/>
    <w:rsid w:val="003F2FAB"/>
    <w:rsid w:val="003F5229"/>
    <w:rsid w:val="003F6C65"/>
    <w:rsid w:val="003F6F71"/>
    <w:rsid w:val="00411337"/>
    <w:rsid w:val="0041171F"/>
    <w:rsid w:val="00417450"/>
    <w:rsid w:val="00422EE3"/>
    <w:rsid w:val="00434FAB"/>
    <w:rsid w:val="00437C19"/>
    <w:rsid w:val="00460BCE"/>
    <w:rsid w:val="00463328"/>
    <w:rsid w:val="00471F71"/>
    <w:rsid w:val="004727C7"/>
    <w:rsid w:val="0047499E"/>
    <w:rsid w:val="00476455"/>
    <w:rsid w:val="00477645"/>
    <w:rsid w:val="00483A3D"/>
    <w:rsid w:val="0048514F"/>
    <w:rsid w:val="0048642F"/>
    <w:rsid w:val="00493914"/>
    <w:rsid w:val="004A2DFA"/>
    <w:rsid w:val="004A3012"/>
    <w:rsid w:val="004A54D8"/>
    <w:rsid w:val="004B7A76"/>
    <w:rsid w:val="004B7F8E"/>
    <w:rsid w:val="004D04BE"/>
    <w:rsid w:val="004E0699"/>
    <w:rsid w:val="004F4482"/>
    <w:rsid w:val="00500CC7"/>
    <w:rsid w:val="00502DFD"/>
    <w:rsid w:val="00510562"/>
    <w:rsid w:val="0053305B"/>
    <w:rsid w:val="005415DB"/>
    <w:rsid w:val="00543F07"/>
    <w:rsid w:val="005453B7"/>
    <w:rsid w:val="005514B4"/>
    <w:rsid w:val="00551C88"/>
    <w:rsid w:val="00555F9E"/>
    <w:rsid w:val="00563DCE"/>
    <w:rsid w:val="005670A5"/>
    <w:rsid w:val="00570CEF"/>
    <w:rsid w:val="0057316F"/>
    <w:rsid w:val="0057620B"/>
    <w:rsid w:val="0058046D"/>
    <w:rsid w:val="005831F1"/>
    <w:rsid w:val="0058463D"/>
    <w:rsid w:val="0059185D"/>
    <w:rsid w:val="00597714"/>
    <w:rsid w:val="005B332F"/>
    <w:rsid w:val="005B557A"/>
    <w:rsid w:val="005C14A1"/>
    <w:rsid w:val="005C3F6A"/>
    <w:rsid w:val="005D2007"/>
    <w:rsid w:val="005E1B67"/>
    <w:rsid w:val="005E50C7"/>
    <w:rsid w:val="005F54F1"/>
    <w:rsid w:val="00617575"/>
    <w:rsid w:val="0062067D"/>
    <w:rsid w:val="00621F16"/>
    <w:rsid w:val="00627071"/>
    <w:rsid w:val="006341B5"/>
    <w:rsid w:val="0064281A"/>
    <w:rsid w:val="006468A6"/>
    <w:rsid w:val="00651FE7"/>
    <w:rsid w:val="00653B52"/>
    <w:rsid w:val="006663A8"/>
    <w:rsid w:val="0066667F"/>
    <w:rsid w:val="0067204A"/>
    <w:rsid w:val="00680B7F"/>
    <w:rsid w:val="006817E6"/>
    <w:rsid w:val="0068760F"/>
    <w:rsid w:val="006A051C"/>
    <w:rsid w:val="006A1135"/>
    <w:rsid w:val="006A21FE"/>
    <w:rsid w:val="006A7381"/>
    <w:rsid w:val="006B417D"/>
    <w:rsid w:val="006B550F"/>
    <w:rsid w:val="006C6949"/>
    <w:rsid w:val="006E2EE4"/>
    <w:rsid w:val="006E7949"/>
    <w:rsid w:val="006F66BB"/>
    <w:rsid w:val="00700E9B"/>
    <w:rsid w:val="0070279A"/>
    <w:rsid w:val="00706AB5"/>
    <w:rsid w:val="00750A29"/>
    <w:rsid w:val="00755337"/>
    <w:rsid w:val="0076334F"/>
    <w:rsid w:val="00764112"/>
    <w:rsid w:val="0076708E"/>
    <w:rsid w:val="00772D52"/>
    <w:rsid w:val="007764CE"/>
    <w:rsid w:val="00780B5D"/>
    <w:rsid w:val="00783C5B"/>
    <w:rsid w:val="00786F3B"/>
    <w:rsid w:val="00792B35"/>
    <w:rsid w:val="007A4DE6"/>
    <w:rsid w:val="007B41D0"/>
    <w:rsid w:val="007D3833"/>
    <w:rsid w:val="007D5683"/>
    <w:rsid w:val="007F4D8F"/>
    <w:rsid w:val="008032CE"/>
    <w:rsid w:val="00804C1A"/>
    <w:rsid w:val="008065F4"/>
    <w:rsid w:val="00807B5B"/>
    <w:rsid w:val="00815D00"/>
    <w:rsid w:val="00823073"/>
    <w:rsid w:val="008441ED"/>
    <w:rsid w:val="008445AE"/>
    <w:rsid w:val="008577AD"/>
    <w:rsid w:val="008603B7"/>
    <w:rsid w:val="00860FF7"/>
    <w:rsid w:val="008702A3"/>
    <w:rsid w:val="00870922"/>
    <w:rsid w:val="00871476"/>
    <w:rsid w:val="00874FFA"/>
    <w:rsid w:val="008769EF"/>
    <w:rsid w:val="00884E73"/>
    <w:rsid w:val="008943B2"/>
    <w:rsid w:val="008A3E60"/>
    <w:rsid w:val="008A45AE"/>
    <w:rsid w:val="008B0F66"/>
    <w:rsid w:val="008B3415"/>
    <w:rsid w:val="008B55F0"/>
    <w:rsid w:val="008B7A9D"/>
    <w:rsid w:val="008C54EB"/>
    <w:rsid w:val="008D3B32"/>
    <w:rsid w:val="008D45CB"/>
    <w:rsid w:val="008D60B6"/>
    <w:rsid w:val="008F1721"/>
    <w:rsid w:val="008F76D7"/>
    <w:rsid w:val="00915E28"/>
    <w:rsid w:val="00916327"/>
    <w:rsid w:val="00917935"/>
    <w:rsid w:val="00921335"/>
    <w:rsid w:val="00921EA2"/>
    <w:rsid w:val="00926CEA"/>
    <w:rsid w:val="0092798E"/>
    <w:rsid w:val="0093060A"/>
    <w:rsid w:val="00932F8E"/>
    <w:rsid w:val="00936868"/>
    <w:rsid w:val="00943AC8"/>
    <w:rsid w:val="00955402"/>
    <w:rsid w:val="00960DB5"/>
    <w:rsid w:val="00965787"/>
    <w:rsid w:val="009919DD"/>
    <w:rsid w:val="009946E2"/>
    <w:rsid w:val="009A05A1"/>
    <w:rsid w:val="009A4927"/>
    <w:rsid w:val="009A64A9"/>
    <w:rsid w:val="009C7990"/>
    <w:rsid w:val="009D3532"/>
    <w:rsid w:val="009D626D"/>
    <w:rsid w:val="009D7A89"/>
    <w:rsid w:val="009E1226"/>
    <w:rsid w:val="009E20E0"/>
    <w:rsid w:val="009E3CA9"/>
    <w:rsid w:val="009F2A6C"/>
    <w:rsid w:val="009F2D3A"/>
    <w:rsid w:val="00A03D17"/>
    <w:rsid w:val="00A23884"/>
    <w:rsid w:val="00A3665C"/>
    <w:rsid w:val="00A4253E"/>
    <w:rsid w:val="00A43C0D"/>
    <w:rsid w:val="00A5303C"/>
    <w:rsid w:val="00A534BF"/>
    <w:rsid w:val="00A63DFA"/>
    <w:rsid w:val="00A65396"/>
    <w:rsid w:val="00A83C31"/>
    <w:rsid w:val="00A85322"/>
    <w:rsid w:val="00A86237"/>
    <w:rsid w:val="00AA64F1"/>
    <w:rsid w:val="00AA7F6B"/>
    <w:rsid w:val="00AB5D4E"/>
    <w:rsid w:val="00AC6C7E"/>
    <w:rsid w:val="00AD769B"/>
    <w:rsid w:val="00AE5767"/>
    <w:rsid w:val="00B14560"/>
    <w:rsid w:val="00B2028C"/>
    <w:rsid w:val="00B3473B"/>
    <w:rsid w:val="00B43097"/>
    <w:rsid w:val="00B5322C"/>
    <w:rsid w:val="00B532FD"/>
    <w:rsid w:val="00B677CB"/>
    <w:rsid w:val="00B709BB"/>
    <w:rsid w:val="00B73924"/>
    <w:rsid w:val="00B73D4E"/>
    <w:rsid w:val="00B8456C"/>
    <w:rsid w:val="00B91FEF"/>
    <w:rsid w:val="00BA2895"/>
    <w:rsid w:val="00BC1FBA"/>
    <w:rsid w:val="00BD0CE2"/>
    <w:rsid w:val="00BF5851"/>
    <w:rsid w:val="00C0013E"/>
    <w:rsid w:val="00C01AEF"/>
    <w:rsid w:val="00C01CAE"/>
    <w:rsid w:val="00C534CD"/>
    <w:rsid w:val="00C542E5"/>
    <w:rsid w:val="00C6235A"/>
    <w:rsid w:val="00C66080"/>
    <w:rsid w:val="00C70788"/>
    <w:rsid w:val="00C760BE"/>
    <w:rsid w:val="00C816D9"/>
    <w:rsid w:val="00C92B23"/>
    <w:rsid w:val="00C93B7F"/>
    <w:rsid w:val="00C94446"/>
    <w:rsid w:val="00C950B3"/>
    <w:rsid w:val="00CA2533"/>
    <w:rsid w:val="00CA3254"/>
    <w:rsid w:val="00CB2CE5"/>
    <w:rsid w:val="00CB2F88"/>
    <w:rsid w:val="00CB6A92"/>
    <w:rsid w:val="00CB6F91"/>
    <w:rsid w:val="00CC5DFA"/>
    <w:rsid w:val="00CD3A3F"/>
    <w:rsid w:val="00CE0B6E"/>
    <w:rsid w:val="00CE109F"/>
    <w:rsid w:val="00CE2332"/>
    <w:rsid w:val="00CE51E1"/>
    <w:rsid w:val="00CE76F1"/>
    <w:rsid w:val="00CF7D98"/>
    <w:rsid w:val="00D019AA"/>
    <w:rsid w:val="00D01EF8"/>
    <w:rsid w:val="00D0704F"/>
    <w:rsid w:val="00D16545"/>
    <w:rsid w:val="00D2276B"/>
    <w:rsid w:val="00D266D7"/>
    <w:rsid w:val="00D27F21"/>
    <w:rsid w:val="00D30599"/>
    <w:rsid w:val="00D36E5C"/>
    <w:rsid w:val="00D56209"/>
    <w:rsid w:val="00D620CB"/>
    <w:rsid w:val="00D7437D"/>
    <w:rsid w:val="00D7759B"/>
    <w:rsid w:val="00D802F9"/>
    <w:rsid w:val="00D911C6"/>
    <w:rsid w:val="00D921D3"/>
    <w:rsid w:val="00DA4005"/>
    <w:rsid w:val="00DB6928"/>
    <w:rsid w:val="00DD5021"/>
    <w:rsid w:val="00DE0463"/>
    <w:rsid w:val="00DE050B"/>
    <w:rsid w:val="00DE73D8"/>
    <w:rsid w:val="00DF3942"/>
    <w:rsid w:val="00DF4C18"/>
    <w:rsid w:val="00DF5129"/>
    <w:rsid w:val="00E00A6B"/>
    <w:rsid w:val="00E01019"/>
    <w:rsid w:val="00E035E0"/>
    <w:rsid w:val="00E155E4"/>
    <w:rsid w:val="00E26F33"/>
    <w:rsid w:val="00E332FA"/>
    <w:rsid w:val="00E34E18"/>
    <w:rsid w:val="00E37223"/>
    <w:rsid w:val="00E43F3D"/>
    <w:rsid w:val="00E51315"/>
    <w:rsid w:val="00E52C81"/>
    <w:rsid w:val="00E71FC5"/>
    <w:rsid w:val="00E84FC9"/>
    <w:rsid w:val="00E854BF"/>
    <w:rsid w:val="00E85997"/>
    <w:rsid w:val="00E87653"/>
    <w:rsid w:val="00E908C1"/>
    <w:rsid w:val="00EA43C4"/>
    <w:rsid w:val="00ED29FD"/>
    <w:rsid w:val="00ED67BC"/>
    <w:rsid w:val="00EE10B5"/>
    <w:rsid w:val="00EE5D4F"/>
    <w:rsid w:val="00EE5E72"/>
    <w:rsid w:val="00F004E0"/>
    <w:rsid w:val="00F15145"/>
    <w:rsid w:val="00F24349"/>
    <w:rsid w:val="00F27C6C"/>
    <w:rsid w:val="00F30213"/>
    <w:rsid w:val="00F31261"/>
    <w:rsid w:val="00F33200"/>
    <w:rsid w:val="00F47E18"/>
    <w:rsid w:val="00F50AAE"/>
    <w:rsid w:val="00F52782"/>
    <w:rsid w:val="00F54576"/>
    <w:rsid w:val="00F56A2E"/>
    <w:rsid w:val="00F56EAB"/>
    <w:rsid w:val="00F61D4C"/>
    <w:rsid w:val="00F677B6"/>
    <w:rsid w:val="00F83A46"/>
    <w:rsid w:val="00F8631C"/>
    <w:rsid w:val="00F8788A"/>
    <w:rsid w:val="00F90EE5"/>
    <w:rsid w:val="00F921F2"/>
    <w:rsid w:val="00F93E47"/>
    <w:rsid w:val="00F960C8"/>
    <w:rsid w:val="00F97834"/>
    <w:rsid w:val="00FB578D"/>
    <w:rsid w:val="00FB5820"/>
    <w:rsid w:val="00FB6EC7"/>
    <w:rsid w:val="00FD00DC"/>
    <w:rsid w:val="00FD1C6A"/>
    <w:rsid w:val="00FD77CD"/>
    <w:rsid w:val="00FD7C35"/>
    <w:rsid w:val="00FE49EC"/>
    <w:rsid w:val="00FF6A1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A00970"/>
  <w15:docId w15:val="{7C387A1A-13B3-A841-B883-E98682B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13E"/>
    <w:pPr>
      <w:ind w:left="720"/>
      <w:contextualSpacing/>
    </w:pPr>
  </w:style>
  <w:style w:type="table" w:styleId="Tabelacomgrade">
    <w:name w:val="Table Grid"/>
    <w:basedOn w:val="Tabelanormal"/>
    <w:uiPriority w:val="59"/>
    <w:rsid w:val="0038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161E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E2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61E2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67B2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5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4BF"/>
  </w:style>
  <w:style w:type="paragraph" w:styleId="Rodap">
    <w:name w:val="footer"/>
    <w:basedOn w:val="Normal"/>
    <w:link w:val="RodapChar"/>
    <w:uiPriority w:val="99"/>
    <w:unhideWhenUsed/>
    <w:rsid w:val="00E85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4BF"/>
  </w:style>
  <w:style w:type="paragraph" w:styleId="Textodebalo">
    <w:name w:val="Balloon Text"/>
    <w:basedOn w:val="Normal"/>
    <w:link w:val="TextodebaloChar"/>
    <w:uiPriority w:val="99"/>
    <w:semiHidden/>
    <w:unhideWhenUsed/>
    <w:rsid w:val="00E8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4B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8532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5322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5322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5322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5322"/>
    <w:rPr>
      <w:b/>
      <w:bCs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2B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3D2B-2787-4D90-8B7E-DEB316D7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2983</Words>
  <Characters>16114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Marcos Simonetti</cp:lastModifiedBy>
  <cp:revision>5</cp:revision>
  <cp:lastPrinted>2017-02-14T15:56:00Z</cp:lastPrinted>
  <dcterms:created xsi:type="dcterms:W3CDTF">2020-01-21T15:52:00Z</dcterms:created>
  <dcterms:modified xsi:type="dcterms:W3CDTF">2020-01-21T16:01:00Z</dcterms:modified>
</cp:coreProperties>
</file>