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96828AE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Unidade Candidata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FD8BACD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20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49F2C072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F33F11">
        <w:rPr>
          <w:rFonts w:ascii="Times New Roman" w:hAnsi="Times New Roman" w:cs="Times New Roman"/>
          <w:sz w:val="24"/>
          <w:szCs w:val="24"/>
        </w:rPr>
        <w:t xml:space="preserve"> 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Unidades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469B" w14:textId="21D7B9D5" w:rsidR="00F33F11" w:rsidRDefault="00D0452C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 w:rsidR="00F05653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 w:rsidR="00125588"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>12 e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espaçamento simples</w:t>
      </w:r>
      <w:r w:rsidR="004E29ED" w:rsidRPr="00346E4B">
        <w:rPr>
          <w:rFonts w:ascii="Times New Roman" w:hAnsi="Times New Roman" w:cs="Times New Roman"/>
          <w:sz w:val="24"/>
          <w:szCs w:val="24"/>
        </w:rPr>
        <w:t>, respeitando a formatação prévia do modelo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</w:t>
      </w:r>
      <w:r w:rsidR="004E29ED" w:rsidRPr="00346E4B">
        <w:rPr>
          <w:rFonts w:ascii="Times New Roman" w:hAnsi="Times New Roman" w:cs="Times New Roman"/>
          <w:sz w:val="24"/>
          <w:szCs w:val="24"/>
        </w:rPr>
        <w:t>,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entregue em extensão .</w:t>
      </w:r>
      <w:proofErr w:type="spellStart"/>
      <w:r w:rsidR="00B47F21" w:rsidRPr="00346E4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47F21" w:rsidRPr="00346E4B">
        <w:rPr>
          <w:rFonts w:ascii="Times New Roman" w:hAnsi="Times New Roman" w:cs="Times New Roman"/>
          <w:sz w:val="24"/>
          <w:szCs w:val="24"/>
        </w:rPr>
        <w:t>.</w:t>
      </w:r>
      <w:r w:rsidR="00512F3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741B5992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Plano de Ação deverá ser limitado obrigatoriamente a 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478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14663874" w14:textId="22540DF5" w:rsidR="00C10715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bookmarkStart w:id="1" w:name="_GoBack"/>
      <w:bookmarkEnd w:id="1"/>
      <w:r w:rsidR="00C10715" w:rsidRPr="00FA4D8F">
        <w:rPr>
          <w:rFonts w:ascii="Times New Roman" w:hAnsi="Times New Roman" w:cs="Times New Roman"/>
          <w:noProof/>
        </w:rPr>
        <w:t>1</w:t>
      </w:r>
      <w:r w:rsidR="00C10715">
        <w:rPr>
          <w:rFonts w:eastAsiaTheme="minorEastAsia"/>
          <w:b w:val="0"/>
          <w:noProof/>
          <w:lang w:eastAsia="pt-BR"/>
        </w:rPr>
        <w:tab/>
      </w:r>
      <w:r w:rsidR="00C10715" w:rsidRPr="00FA4D8F">
        <w:rPr>
          <w:rFonts w:ascii="Times New Roman" w:hAnsi="Times New Roman" w:cs="Times New Roman"/>
          <w:noProof/>
        </w:rPr>
        <w:t>Informações cadastrais</w:t>
      </w:r>
      <w:r w:rsidR="00C10715">
        <w:rPr>
          <w:noProof/>
        </w:rPr>
        <w:tab/>
      </w:r>
      <w:r w:rsidR="00C10715">
        <w:rPr>
          <w:noProof/>
        </w:rPr>
        <w:fldChar w:fldCharType="begin"/>
      </w:r>
      <w:r w:rsidR="00C10715">
        <w:rPr>
          <w:noProof/>
        </w:rPr>
        <w:instrText xml:space="preserve"> PAGEREF _Toc29808531 \h </w:instrText>
      </w:r>
      <w:r w:rsidR="00C10715">
        <w:rPr>
          <w:noProof/>
        </w:rPr>
      </w:r>
      <w:r w:rsidR="00C10715">
        <w:rPr>
          <w:noProof/>
        </w:rPr>
        <w:fldChar w:fldCharType="separate"/>
      </w:r>
      <w:r w:rsidR="00C10715">
        <w:rPr>
          <w:noProof/>
        </w:rPr>
        <w:t>v</w:t>
      </w:r>
      <w:r w:rsidR="00C10715">
        <w:rPr>
          <w:noProof/>
        </w:rPr>
        <w:fldChar w:fldCharType="end"/>
      </w:r>
    </w:p>
    <w:p w14:paraId="309075DC" w14:textId="1C388FD5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0649D8" w14:textId="6AF595AA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4BC3E6" w14:textId="2BE0A0FC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Unidade candidata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A745FD" w14:textId="004BD908" w:rsidR="00C10715" w:rsidRDefault="00C10715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A4D8F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34E948" w14:textId="0308A46C" w:rsidR="00C10715" w:rsidRDefault="00C10715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A4D8F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EE637FD" w14:textId="2D80AC44" w:rsidR="00C10715" w:rsidRDefault="00C10715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A4D8F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FEADAB" w14:textId="2939289F" w:rsidR="00C10715" w:rsidRDefault="00C10715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A4D8F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593AE8" w14:textId="570AF7C6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B35C28F" w14:textId="45BB0A84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8759296" w14:textId="47A92AF8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854588" w14:textId="0379BB16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0C93F5C" w14:textId="60E7D0EE" w:rsidR="00C10715" w:rsidRDefault="00C10715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A4D8F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A4D8F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_Toc29808543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193153BD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460CF8F1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2020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83279D">
        <w:rPr>
          <w:rFonts w:ascii="Times New Roman" w:hAnsi="Times New Roman" w:cs="Times New Roman"/>
          <w:sz w:val="24"/>
          <w:szCs w:val="24"/>
        </w:rPr>
        <w:t xml:space="preserve">Candidata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Ação, 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versão 5.0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descritas no documento da Chamada Pública </w:t>
      </w:r>
      <w:r w:rsidR="0083279D">
        <w:rPr>
          <w:rFonts w:ascii="Times New Roman" w:hAnsi="Times New Roman" w:cs="Times New Roman"/>
          <w:sz w:val="24"/>
          <w:szCs w:val="24"/>
        </w:rPr>
        <w:t xml:space="preserve">EMBRAPII </w:t>
      </w:r>
      <w:r w:rsidR="00E34537">
        <w:rPr>
          <w:rFonts w:ascii="Times New Roman" w:hAnsi="Times New Roman" w:cs="Times New Roman"/>
          <w:sz w:val="24"/>
          <w:szCs w:val="24"/>
        </w:rPr>
        <w:t>01/</w:t>
      </w:r>
      <w:r w:rsidR="00BC5FFB">
        <w:rPr>
          <w:rFonts w:ascii="Times New Roman" w:hAnsi="Times New Roman" w:cs="Times New Roman"/>
          <w:sz w:val="24"/>
          <w:szCs w:val="24"/>
        </w:rPr>
        <w:t>2020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Ref336157193"/>
      <w:bookmarkStart w:id="3" w:name="_Toc2980853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2"/>
      <w:bookmarkEnd w:id="3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2CBD0418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Denominação da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Unidade candidata</w:t>
            </w:r>
          </w:p>
        </w:tc>
        <w:tc>
          <w:tcPr>
            <w:tcW w:w="4640" w:type="dxa"/>
            <w:vAlign w:val="center"/>
          </w:tcPr>
          <w:p w14:paraId="01A0E381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&lt;Unidade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1530AA9B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Carta de Manifestação de I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nteresse&gt;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986F7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36E17FFF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Unidade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andidata - onde estará instalada a Unidade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22C28A7A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Unidade 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andidata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CF2326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legal]</w:t>
            </w:r>
          </w:p>
        </w:tc>
        <w:tc>
          <w:tcPr>
            <w:tcW w:w="1985" w:type="dxa"/>
            <w:vAlign w:val="center"/>
          </w:tcPr>
          <w:p w14:paraId="4283DB1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5778634F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coordenador&gt;</w:t>
            </w:r>
          </w:p>
        </w:tc>
        <w:tc>
          <w:tcPr>
            <w:tcW w:w="2268" w:type="dxa"/>
            <w:vAlign w:val="center"/>
          </w:tcPr>
          <w:p w14:paraId="7D8599B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coordenador&gt;</w:t>
            </w:r>
          </w:p>
        </w:tc>
        <w:tc>
          <w:tcPr>
            <w:tcW w:w="2127" w:type="dxa"/>
            <w:vAlign w:val="center"/>
          </w:tcPr>
          <w:p w14:paraId="096693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</w:t>
            </w:r>
            <w:proofErr w:type="spell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Tel.coordenador</w:t>
            </w:r>
            <w:proofErr w:type="spell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4" w:name="_Toc427142045"/>
      <w:bookmarkStart w:id="5" w:name="_Toc427142046"/>
      <w:bookmarkStart w:id="6" w:name="_Toc427072198"/>
      <w:bookmarkStart w:id="7" w:name="_Toc427153831"/>
      <w:bookmarkEnd w:id="4"/>
      <w:bookmarkEnd w:id="5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Ref336163331"/>
      <w:bookmarkStart w:id="9" w:name="_Ref336163341"/>
      <w:bookmarkStart w:id="10" w:name="_Toc2980853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10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49513350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temas prioritários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684FD15" w14:textId="18AFFFA3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47D42187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pleiteada. As sublinhas também devem permitir o aprofundamento e o adensamento do conteúdo de P,D&amp;I nos projetos a serem desenvolvidos para as indústrias. Sua delimitação não deve restringir o seu escopo de atuação e seu mercado, tampouco genérica para configurar um conjunto de especializações dispersas e sem foco de atuação específico.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563BAC07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2980853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1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4F5297" w14:textId="1C571D24" w:rsidR="002166A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&lt;Descrever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iscorrer sobre o enquadramento de uma eventual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Unidade 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017328FA" w:rsidR="00A655E7" w:rsidRPr="00346E4B" w:rsidRDefault="00A655E7" w:rsidP="00346E4B">
      <w:pPr>
        <w:spacing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_Ref336116090"/>
    </w:p>
    <w:p w14:paraId="6AB34775" w14:textId="53400AEB" w:rsidR="002C484F" w:rsidRPr="00346E4B" w:rsidRDefault="000362A4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2980853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Unidade candidata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6"/>
      <w:bookmarkEnd w:id="7"/>
      <w:bookmarkEnd w:id="12"/>
      <w:bookmarkEnd w:id="13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4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75C2B593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&lt;Vide definição de Unidade 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60B6C660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as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isso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na área em que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5EE52B03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o volume de recursos captado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eventualmente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980853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5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524737F0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1139D120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Unidade EMBRAPII de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produzir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7218716B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980853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6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29394B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apresentada na planilha Excel,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Se necessário, esclarecimentos sobre este item serão 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credenciamento.&gt;</w:t>
      </w:r>
    </w:p>
    <w:p w14:paraId="3559C807" w14:textId="2DF7CB45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Unidade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505B8624" w14:textId="163DD48F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manutenção 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infraestrutura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980853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7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8" w:name="_Toc427153837"/>
      <w:bookmarkEnd w:id="1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8"/>
    <w:p w14:paraId="128F3722" w14:textId="361FE098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resultados,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(Informações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7FF7EE2C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por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emplo a </w:t>
      </w:r>
      <w:proofErr w:type="spellStart"/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noma</w:t>
      </w:r>
      <w:proofErr w:type="spellEnd"/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6312E52A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da 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72593C1F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a atuação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bem como a estrutura de gestão já disponível e operacional para atuar como Unidade credenciada.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27153833"/>
      <w:bookmarkStart w:id="20" w:name="_Toc2980853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9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20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71C0EF6F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obrigatório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11AE59E2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NITs</w:t>
      </w:r>
      <w:proofErr w:type="spellEnd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2980853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1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68BADD95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projetos EMBRAPII deverão ser sempre elaborados e executados sob demanda de empresas industriais. O delineamento do mercado foco deve representar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seus 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de empresas para realização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almejado, ou seja, quais empresas industriais se pretende atender;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 relevância da área de competência para a indústria;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iv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indústria; (v) a existência ou não de fornecedores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mercado foco;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sustentabilidade prevista para 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63843501" w14:textId="10EFF153" w:rsidR="00521239" w:rsidRPr="00346E4B" w:rsidRDefault="00521239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29808540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Mercado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 e experiências específicas em 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P,D&amp;I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industrial</w:t>
      </w:r>
      <w:bookmarkEnd w:id="22"/>
    </w:p>
    <w:p w14:paraId="61F24566" w14:textId="762F390B" w:rsidR="00521239" w:rsidRPr="00346E4B" w:rsidRDefault="00521239" w:rsidP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FE13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6BBE6EB7" w14:textId="64D87321" w:rsidR="000B6926" w:rsidRDefault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possuí programas especiais de fomento voltados para ações estratégicas específicas, como é o caso do Programa Prioritário ROTA 2030 e do PPI 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em IOT/Manufatura 4.0, além de acordos com outros agentes de fomento à inovação -  como o é o caso da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focalizada nas pequenas empresas. </w:t>
      </w:r>
    </w:p>
    <w:p w14:paraId="1AE839B8" w14:textId="5EF19AE4" w:rsidR="00FE13A0" w:rsidRDefault="000B6926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ROTA 2030 é  uma ação transversal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focalizada na</w:t>
      </w:r>
      <w:r w:rsidR="00FE13A0"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cadeia de fornecedores do setor de mobilidade e logística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abrangendo áreas como biocombustíveis, manufatura avançada, Internet das Coisas (</w:t>
      </w:r>
      <w:proofErr w:type="spellStart"/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</w:t>
      </w:r>
      <w:proofErr w:type="spellEnd"/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conectividade, ferramentaria, novas tecnologias de propulsão, novos materiais, TICs, entre outras.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Detalhes estão disponíveis em </w:t>
      </w:r>
      <w:hyperlink r:id="rId11" w:history="1">
        <w:r w:rsidR="00FE13A0"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https://embrapii.org.br/rota-2030/</w:t>
        </w:r>
      </w:hyperlink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75C01361" w14:textId="7FF2396A" w:rsidR="00FE13A0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Prioritário (PPI) em </w:t>
      </w:r>
      <w:proofErr w:type="spellStart"/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</w:t>
      </w:r>
      <w:proofErr w:type="spellEnd"/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/Manufatura 4.0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um mecanismo adicional para que as empresas beneficiadas pela Lei de Informática (Lei nº 8.248/1991) cumpram com as responsabilidades legais de investimento em atividades de Pesquisa, Desenvolvimento e Inovação (PD&amp;I)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nessa área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Detalhes estão disponíveis em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https://embrapii.org.br/programas-embrapii/ppi/</w:t>
        </w:r>
      </w:hyperlink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Ressalta-se que essa possibilidade de financiamento exige o registro da Unidade credenciada no CATI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AD76FB" w:rsidRP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Comitê da Área de Tecnologia da Informação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13185A4" w14:textId="5EC5B3DE" w:rsidR="00BE5C49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provê mecanismos para o financiamento de projetos P,D&amp;I para pequenas empresas, associadas ou não entre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médias / grandes empresas, proporcionando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oportunidades para a geração de inovações quanto para a associação cooperativa de empresas dentro das cadeias pro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dutivas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que visem inovações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AF0D8A0" w14:textId="62DD5228" w:rsidR="00536120" w:rsidRDefault="00BE5C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Nesse tópico deve-se inicialmente discorrer sobre a experiência do grupo candidato no desenvolvimento de P,D&amp;I nos três contextos acima delineados, quais sejam, P,D&amp;I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da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cadeia de fornecedores do setor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automobilístico e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mobilidade e logística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 em temas ligados à </w:t>
      </w:r>
      <w:proofErr w:type="spellStart"/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</w:t>
      </w:r>
      <w:proofErr w:type="spellEnd"/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/Manufatura 4.0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e/ou para pequenas empresas, com destaque para a experiência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no desenvolvimento de projetos cooperativos envolvendo várias empresas</w:t>
      </w:r>
      <w:r w:rsidR="00CB189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Pede-se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destacar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experiências do grupo com startups, com aceleradoras e/ou incubadoras.</w:t>
      </w:r>
    </w:p>
    <w:p w14:paraId="5E85CC79" w14:textId="77777777" w:rsidR="0071151F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asea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o-se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do grupo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71151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deve-se discorrer sobre as perspectivas (expectativas) de atuação do grupo nos contextos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Unidade credenciada. </w:t>
      </w:r>
    </w:p>
    <w:p w14:paraId="50F9853E" w14:textId="000F1ADA" w:rsidR="00BE5C49" w:rsidRPr="00521239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 projetos contratados, produtos desenvolvidos, número de empresas atendidas, volumes de recursos envolvidos, inovações produzidas, </w:t>
      </w:r>
      <w:proofErr w:type="spellStart"/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PIs</w:t>
      </w:r>
      <w:proofErr w:type="spellEnd"/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depositadas,  etc.) 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projetos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realizados e a realizar em cada contexto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durante o período credenciado.&gt;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298085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3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8C545A2" w14:textId="0286AA54" w:rsidR="00E3062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4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 no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setor industrial</w:t>
      </w:r>
      <w:bookmarkEnd w:id="24"/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87D1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orra</w:t>
      </w:r>
      <w:r w:rsidR="00187D1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projetos de P,D&amp;I em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2980854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5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729B13C1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será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apresentada.&gt;</w:t>
      </w:r>
    </w:p>
    <w:p w14:paraId="2A4AFA6D" w14:textId="368496E1" w:rsidR="005C5AB1" w:rsidRPr="00750888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Unidade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Destaque especial deve ser dado para a 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="00771881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(montagem de infraestrutura,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Destaca-se que a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que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2980854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6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58E1CE70" w:rsidR="003F246F" w:rsidRPr="00284A04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proponente,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3F246F" w:rsidRPr="00284A04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F3F4" w14:textId="77777777" w:rsidR="008007FB" w:rsidRDefault="008007FB" w:rsidP="002C484F">
      <w:pPr>
        <w:spacing w:after="0" w:line="240" w:lineRule="auto"/>
      </w:pPr>
      <w:r>
        <w:separator/>
      </w:r>
    </w:p>
  </w:endnote>
  <w:endnote w:type="continuationSeparator" w:id="0">
    <w:p w14:paraId="02FEB49E" w14:textId="77777777" w:rsidR="008007FB" w:rsidRDefault="008007FB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D366" w14:textId="77777777" w:rsidR="008007FB" w:rsidRDefault="008007FB" w:rsidP="002C484F">
      <w:pPr>
        <w:spacing w:after="0" w:line="240" w:lineRule="auto"/>
      </w:pPr>
      <w:r>
        <w:separator/>
      </w:r>
    </w:p>
  </w:footnote>
  <w:footnote w:type="continuationSeparator" w:id="0">
    <w:p w14:paraId="6326558E" w14:textId="77777777" w:rsidR="008007FB" w:rsidRDefault="008007FB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</w:t>
      </w:r>
      <w:proofErr w:type="spellStart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TICs</w:t>
      </w:r>
      <w:proofErr w:type="spellEnd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, </w:t>
      </w:r>
      <w:proofErr w:type="gramStart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Automotivo</w:t>
      </w:r>
      <w:proofErr w:type="gramEnd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, etc.), grandes temas (ex. Biotecnologia, Química, Materiais, Energia, etc.) ou políticas (ex. Políticas de C&amp;T).</w:t>
      </w:r>
    </w:p>
  </w:footnote>
  <w:footnote w:id="3">
    <w:p w14:paraId="0B4DE449" w14:textId="738A5A5E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 definição de Unidade EMBRAPII trazida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6068"/>
    <w:rsid w:val="000362A4"/>
    <w:rsid w:val="00043C6C"/>
    <w:rsid w:val="00051700"/>
    <w:rsid w:val="0005337F"/>
    <w:rsid w:val="00054054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6926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64A"/>
    <w:rsid w:val="00154E10"/>
    <w:rsid w:val="001623FB"/>
    <w:rsid w:val="00181F75"/>
    <w:rsid w:val="0018201C"/>
    <w:rsid w:val="001859F0"/>
    <w:rsid w:val="00187D14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4F3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478B1"/>
    <w:rsid w:val="00454511"/>
    <w:rsid w:val="00455488"/>
    <w:rsid w:val="00460F38"/>
    <w:rsid w:val="00462D3C"/>
    <w:rsid w:val="00463946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351CF"/>
    <w:rsid w:val="00536120"/>
    <w:rsid w:val="00544327"/>
    <w:rsid w:val="00545C04"/>
    <w:rsid w:val="00557C0A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A03"/>
    <w:rsid w:val="00663B4F"/>
    <w:rsid w:val="00676115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12A6"/>
    <w:rsid w:val="006D3047"/>
    <w:rsid w:val="006D37EF"/>
    <w:rsid w:val="006D53BB"/>
    <w:rsid w:val="006D7EDD"/>
    <w:rsid w:val="006E177C"/>
    <w:rsid w:val="006E1A9F"/>
    <w:rsid w:val="006E67D1"/>
    <w:rsid w:val="006E6F50"/>
    <w:rsid w:val="006F2FFE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641A"/>
    <w:rsid w:val="00750888"/>
    <w:rsid w:val="007602A0"/>
    <w:rsid w:val="00763E96"/>
    <w:rsid w:val="0076702E"/>
    <w:rsid w:val="00767351"/>
    <w:rsid w:val="00770C57"/>
    <w:rsid w:val="00771881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8007FB"/>
    <w:rsid w:val="008020BF"/>
    <w:rsid w:val="00805946"/>
    <w:rsid w:val="00814BF8"/>
    <w:rsid w:val="00816867"/>
    <w:rsid w:val="008200DC"/>
    <w:rsid w:val="008213A0"/>
    <w:rsid w:val="0083279D"/>
    <w:rsid w:val="0083372C"/>
    <w:rsid w:val="0084103F"/>
    <w:rsid w:val="008461F7"/>
    <w:rsid w:val="008466B2"/>
    <w:rsid w:val="00846839"/>
    <w:rsid w:val="00847A91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251F"/>
    <w:rsid w:val="008F6DCF"/>
    <w:rsid w:val="008F7C83"/>
    <w:rsid w:val="00901BAC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851FA"/>
    <w:rsid w:val="009904AB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912D1"/>
    <w:rsid w:val="00A935E6"/>
    <w:rsid w:val="00A93845"/>
    <w:rsid w:val="00A97E04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36582"/>
    <w:rsid w:val="00B36888"/>
    <w:rsid w:val="00B4103C"/>
    <w:rsid w:val="00B45334"/>
    <w:rsid w:val="00B47F21"/>
    <w:rsid w:val="00B50030"/>
    <w:rsid w:val="00B53341"/>
    <w:rsid w:val="00B53B05"/>
    <w:rsid w:val="00B54B68"/>
    <w:rsid w:val="00B6652C"/>
    <w:rsid w:val="00B67085"/>
    <w:rsid w:val="00B705A7"/>
    <w:rsid w:val="00B77622"/>
    <w:rsid w:val="00B83A52"/>
    <w:rsid w:val="00B87686"/>
    <w:rsid w:val="00B95D93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F738C"/>
    <w:rsid w:val="00C0198D"/>
    <w:rsid w:val="00C03423"/>
    <w:rsid w:val="00C03A1D"/>
    <w:rsid w:val="00C06B8A"/>
    <w:rsid w:val="00C06C4F"/>
    <w:rsid w:val="00C10715"/>
    <w:rsid w:val="00C13563"/>
    <w:rsid w:val="00C1698B"/>
    <w:rsid w:val="00C26B0B"/>
    <w:rsid w:val="00C31641"/>
    <w:rsid w:val="00C3563C"/>
    <w:rsid w:val="00C525EB"/>
    <w:rsid w:val="00C67C02"/>
    <w:rsid w:val="00C75186"/>
    <w:rsid w:val="00C83E64"/>
    <w:rsid w:val="00C906BA"/>
    <w:rsid w:val="00C91B12"/>
    <w:rsid w:val="00CB1895"/>
    <w:rsid w:val="00CC14DE"/>
    <w:rsid w:val="00CC4FC0"/>
    <w:rsid w:val="00CD66EF"/>
    <w:rsid w:val="00CE54D3"/>
    <w:rsid w:val="00CF0DFA"/>
    <w:rsid w:val="00CF1B25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03CB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E42BA"/>
    <w:rsid w:val="00DF47B4"/>
    <w:rsid w:val="00DF4CEC"/>
    <w:rsid w:val="00DF5A0F"/>
    <w:rsid w:val="00E017F1"/>
    <w:rsid w:val="00E031C1"/>
    <w:rsid w:val="00E034F5"/>
    <w:rsid w:val="00E1181E"/>
    <w:rsid w:val="00E12A97"/>
    <w:rsid w:val="00E13A81"/>
    <w:rsid w:val="00E216E1"/>
    <w:rsid w:val="00E22B6D"/>
    <w:rsid w:val="00E22DC7"/>
    <w:rsid w:val="00E30621"/>
    <w:rsid w:val="00E308B3"/>
    <w:rsid w:val="00E34537"/>
    <w:rsid w:val="00E347D2"/>
    <w:rsid w:val="00E46707"/>
    <w:rsid w:val="00E50782"/>
    <w:rsid w:val="00E52FF8"/>
    <w:rsid w:val="00E543B6"/>
    <w:rsid w:val="00E66ECE"/>
    <w:rsid w:val="00E67CA9"/>
    <w:rsid w:val="00E7347F"/>
    <w:rsid w:val="00E742C8"/>
    <w:rsid w:val="00E76971"/>
    <w:rsid w:val="00E82923"/>
    <w:rsid w:val="00E974AA"/>
    <w:rsid w:val="00EA1CF5"/>
    <w:rsid w:val="00EA219A"/>
    <w:rsid w:val="00EA4092"/>
    <w:rsid w:val="00EA7540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rapii.org.br/programas-embrapii/pp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35A1-6242-9343-AB49-F9C4204C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3457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9</cp:revision>
  <cp:lastPrinted>2016-09-29T14:38:00Z</cp:lastPrinted>
  <dcterms:created xsi:type="dcterms:W3CDTF">2020-01-12T21:46:00Z</dcterms:created>
  <dcterms:modified xsi:type="dcterms:W3CDTF">2020-01-13T14:48:00Z</dcterms:modified>
</cp:coreProperties>
</file>