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1A6A" w14:textId="77777777" w:rsidR="00877129" w:rsidRDefault="00ED2533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Instituição Proponente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3B583AEF" w14:textId="77777777" w:rsidR="00877129" w:rsidRDefault="00ED2533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unidade candidata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42D9C847" w14:textId="77777777" w:rsidR="00877129" w:rsidRDefault="00ED2533">
      <w:pPr>
        <w:spacing w:before="156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&lt;Código da Proposta&gt;</w:t>
      </w:r>
    </w:p>
    <w:p w14:paraId="37E52363" w14:textId="77777777" w:rsidR="00877129" w:rsidRDefault="00ED2533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&lt;Local&gt;, &lt;dia&gt; de &lt;mês&gt; de 2022</w:t>
      </w:r>
    </w:p>
    <w:p w14:paraId="6C8B4D67" w14:textId="77777777" w:rsidR="00877129" w:rsidRDefault="00877129"/>
    <w:p w14:paraId="37254A5A" w14:textId="77777777" w:rsidR="00877129" w:rsidRDefault="00877129"/>
    <w:p w14:paraId="2CA221C2" w14:textId="77777777" w:rsidR="00877129" w:rsidRDefault="00877129"/>
    <w:p w14:paraId="62F5D8C1" w14:textId="77777777" w:rsidR="00877129" w:rsidRDefault="00ED25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Nota Geral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C8956AF" w14:textId="77777777" w:rsidR="00877129" w:rsidRDefault="00ED25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arquivo deve ser usado como modelo para elaborar e apresentar o Plano de Ação (PA) a ser submetido à Chamada Pública para credenciamento de Unidades EMBRAPII. No contexto do presente plano de ação, grupo candidato será aquele pertencente a uma unidade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Instituição proponente, apresentado formalmente como candidato ao credenciamento EMBRAPII.</w:t>
      </w:r>
    </w:p>
    <w:p w14:paraId="0BCF20A3" w14:textId="77777777" w:rsidR="00877129" w:rsidRDefault="00ED25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Plano de Ação deve ser limitado obrigatoriamente a 32 páginas, no formato A4, fonte Times New Roman, letra 12 e espaçamento simples, respeitando a formatação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révia do modelo e, entregue em extensão PDF. No Plano de Ação as solicitações de informações apresentadas na forma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informação solicitada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deste modelo. </w:t>
      </w:r>
    </w:p>
    <w:p w14:paraId="2423D55F" w14:textId="77777777" w:rsidR="00877129" w:rsidRDefault="00ED25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leitura e entendimento das instruções para elaboração de cada tópico do PA, remova as referidas instruções.</w:t>
      </w:r>
    </w:p>
    <w:p w14:paraId="0DBD7448" w14:textId="77777777" w:rsidR="00877129" w:rsidRDefault="00ED25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Sua elaboração e preenchimento deve obed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ecer rigorosamente às instruções aqui contidas, além daquelas estabelecidas na Chamada e nos documentos referidos no processo, cuja inobservância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implicará na desqualificação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candidata ao pleito. </w:t>
      </w:r>
    </w:p>
    <w:p w14:paraId="3822AEAC" w14:textId="77777777" w:rsidR="00877129" w:rsidRDefault="00ED25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Plano de Ação deverá ser limitado obrigatoriamente a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 páginas (contadas a partir da seção 2 - Área de competência proposta), as propostas que descumprirem essa formatação serão automaticamente desclassificadas. </w:t>
      </w:r>
    </w:p>
    <w:p w14:paraId="2593BF06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Sumário</w:t>
      </w:r>
    </w:p>
    <w:p w14:paraId="3014080C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B85770D" w14:textId="77777777" w:rsidR="00877129" w:rsidRDefault="00ED2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 institucional....................................................................iv</w:t>
      </w:r>
    </w:p>
    <w:sdt>
      <w:sdtPr>
        <w:id w:val="1929386218"/>
        <w:docPartObj>
          <w:docPartGallery w:val="Table of Contents"/>
          <w:docPartUnique/>
        </w:docPartObj>
      </w:sdtPr>
      <w:sdtEndPr>
        <w:rPr>
          <w:b w:val="0"/>
          <w:sz w:val="22"/>
          <w:szCs w:val="22"/>
        </w:rPr>
      </w:sdtEndPr>
      <w:sdtContent>
        <w:p w14:paraId="25DCC410" w14:textId="38C0CF5A" w:rsidR="00AA1D66" w:rsidRDefault="00ED2533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7494044" w:history="1">
            <w:r w:rsidR="00AA1D66"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1</w:t>
            </w:r>
            <w:r w:rsidR="00AA1D6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A1D66"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Informações cadastrais</w:t>
            </w:r>
            <w:r w:rsidR="00AA1D66">
              <w:rPr>
                <w:noProof/>
                <w:webHidden/>
              </w:rPr>
              <w:tab/>
            </w:r>
            <w:r w:rsidR="00AA1D66">
              <w:rPr>
                <w:noProof/>
                <w:webHidden/>
              </w:rPr>
              <w:fldChar w:fldCharType="begin"/>
            </w:r>
            <w:r w:rsidR="00AA1D66">
              <w:rPr>
                <w:noProof/>
                <w:webHidden/>
              </w:rPr>
              <w:instrText xml:space="preserve"> PAGEREF _Toc107494044 \h </w:instrText>
            </w:r>
            <w:r w:rsidR="00AA1D66">
              <w:rPr>
                <w:noProof/>
                <w:webHidden/>
              </w:rPr>
            </w:r>
            <w:r w:rsidR="00AA1D66">
              <w:rPr>
                <w:noProof/>
                <w:webHidden/>
              </w:rPr>
              <w:fldChar w:fldCharType="separate"/>
            </w:r>
            <w:r w:rsidR="00AA1D66">
              <w:rPr>
                <w:noProof/>
                <w:webHidden/>
              </w:rPr>
              <w:t>5</w:t>
            </w:r>
            <w:r w:rsidR="00AA1D66">
              <w:rPr>
                <w:noProof/>
                <w:webHidden/>
              </w:rPr>
              <w:fldChar w:fldCharType="end"/>
            </w:r>
          </w:hyperlink>
        </w:p>
        <w:p w14:paraId="215A7274" w14:textId="3EFDEF61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45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Área de competência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5A169" w14:textId="6A8BA5EA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46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Instituição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E07BE" w14:textId="52C02EE5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47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Grupo candidato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BF29F" w14:textId="75CAD905" w:rsidR="00AA1D66" w:rsidRDefault="00AA1D66">
          <w:pPr>
            <w:pStyle w:val="Sumrio2"/>
            <w:tabs>
              <w:tab w:val="left" w:pos="88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07494048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Equipe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77522" w14:textId="268F3833" w:rsidR="00AA1D66" w:rsidRDefault="00AA1D66">
          <w:pPr>
            <w:pStyle w:val="Sumrio2"/>
            <w:tabs>
              <w:tab w:val="left" w:pos="88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07494049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Infraestrutura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57C1C" w14:textId="469BE523" w:rsidR="00AA1D66" w:rsidRDefault="00AA1D66">
          <w:pPr>
            <w:pStyle w:val="Sumrio2"/>
            <w:tabs>
              <w:tab w:val="left" w:pos="88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07494050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Mecanismos de gestão e coordenação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70115" w14:textId="6461408E" w:rsidR="00AA1D66" w:rsidRDefault="00AA1D66">
          <w:pPr>
            <w:pStyle w:val="Sumrio2"/>
            <w:tabs>
              <w:tab w:val="left" w:pos="88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07494051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Gestão da inovação e propriedade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16455" w14:textId="6BBF0024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52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 de P,D&amp;I na área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30BB0" w14:textId="53102B53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53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Mercados e experiências específicas em P,D&amp;I industrial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42D9D" w14:textId="5BF96714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54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Estratégia de captação de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6AF3B" w14:textId="38BF5D51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55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Financiamento da ação EMBRAPII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D6A6A" w14:textId="53C5E4B4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56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Resultados esperados com o credenciamento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82146" w14:textId="1F746DFB" w:rsidR="00AA1D66" w:rsidRDefault="00AA1D66">
          <w:pPr>
            <w:pStyle w:val="Sumrio1"/>
            <w:tabs>
              <w:tab w:val="left" w:pos="440"/>
              <w:tab w:val="right" w:pos="849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07494057" w:history="1"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CD5A44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– Definição indicadores de desempenho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_Toc107494057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6E53C" w14:textId="7401602E" w:rsidR="00877129" w:rsidRDefault="00ED253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EC4D52A" w14:textId="77777777" w:rsidR="00877129" w:rsidRDefault="008771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877129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start="1"/>
          <w:cols w:space="720"/>
          <w:titlePg/>
        </w:sectPr>
      </w:pPr>
    </w:p>
    <w:p w14:paraId="30325FBC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24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Declaração de Concordância Institucional</w:t>
      </w:r>
    </w:p>
    <w:p w14:paraId="178F80F9" w14:textId="77777777" w:rsidR="00877129" w:rsidRDefault="00ED2533">
      <w:pPr>
        <w:spacing w:before="1200" w:after="1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responsável legal pelo (a)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proponente&gt;,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 declaro, em nome da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unidade candidata ao credenciamento&gt;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candidato(a) ao credenciamento EMBRAPII na Chamada 01/2022, na área de competência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área de competência proposta&gt;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man</w:t>
      </w:r>
      <w:r>
        <w:rPr>
          <w:rFonts w:ascii="Times New Roman" w:eastAsia="Times New Roman" w:hAnsi="Times New Roman" w:cs="Times New Roman"/>
          <w:sz w:val="24"/>
          <w:szCs w:val="24"/>
        </w:rPr>
        <w:t>ifesto integral concordância com o presente Plano de Ação, submetido ao processo de credenciamento, bem como com as regras do Manual de Operação EMBRAPII e com as condições estabelecidas para esta chamada.</w:t>
      </w:r>
    </w:p>
    <w:p w14:paraId="7753837B" w14:textId="77777777" w:rsidR="00877129" w:rsidRDefault="0087712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7FA45" w14:textId="77777777" w:rsidR="00877129" w:rsidRDefault="008771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91B2F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Atenciosamente, </w:t>
      </w:r>
    </w:p>
    <w:p w14:paraId="4814A60D" w14:textId="77777777" w:rsidR="00877129" w:rsidRDefault="0087712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33219B" w14:textId="77777777" w:rsidR="00877129" w:rsidRDefault="0087712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9D0BD4" w14:textId="77777777" w:rsidR="00877129" w:rsidRDefault="00ED253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4ADB99A9" w14:textId="77777777" w:rsidR="00877129" w:rsidRDefault="00ED2533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&lt;Nome do responsável legal pela Instituição proponente&gt;</w:t>
      </w:r>
    </w:p>
    <w:p w14:paraId="65A2B379" w14:textId="77777777" w:rsidR="00877129" w:rsidRDefault="00ED2533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&lt;Cargo do responsável legal&gt;</w:t>
      </w:r>
    </w:p>
    <w:p w14:paraId="2DCC02F3" w14:textId="77777777" w:rsidR="00877129" w:rsidRDefault="00ED2533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sectPr w:rsidR="00877129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&lt;Telefone de contato&gt;</w:t>
      </w:r>
    </w:p>
    <w:p w14:paraId="0699DD87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0749404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Informações cadastrais</w:t>
      </w:r>
      <w:bookmarkEnd w:id="1"/>
    </w:p>
    <w:p w14:paraId="57D42ED3" w14:textId="77777777" w:rsidR="00877129" w:rsidRDefault="00877129"/>
    <w:tbl>
      <w:tblPr>
        <w:tblStyle w:val="a"/>
        <w:tblW w:w="9297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40"/>
      </w:tblGrid>
      <w:tr w:rsidR="00877129" w14:paraId="58BCE1AE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21549FF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05C459FD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&lt;Instituição proponente&gt;</w:t>
            </w:r>
          </w:p>
        </w:tc>
      </w:tr>
      <w:tr w:rsidR="00877129" w14:paraId="6C018D8F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612AA578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3C1AD246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&lt;CNPJ com pontuação e separadores&gt;</w:t>
            </w:r>
          </w:p>
        </w:tc>
      </w:tr>
      <w:tr w:rsidR="00877129" w14:paraId="7CAEC47D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12A0A7C1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do grupo candidato</w:t>
            </w:r>
          </w:p>
        </w:tc>
        <w:tc>
          <w:tcPr>
            <w:tcW w:w="4640" w:type="dxa"/>
            <w:vAlign w:val="center"/>
          </w:tcPr>
          <w:p w14:paraId="385053E2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&lt;Unidade Candidata&gt;</w:t>
            </w:r>
          </w:p>
        </w:tc>
      </w:tr>
      <w:tr w:rsidR="00877129" w14:paraId="642F2699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7B4E2E0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517081C4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&lt;Intuição Gestora financeira – caso exista&gt;</w:t>
            </w:r>
          </w:p>
        </w:tc>
      </w:tr>
    </w:tbl>
    <w:p w14:paraId="7FE8B915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9297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6628"/>
      </w:tblGrid>
      <w:tr w:rsidR="00877129" w14:paraId="646366F7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1E116459" w14:textId="77777777" w:rsidR="00877129" w:rsidRDefault="00ED2533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Área de competência</w:t>
            </w:r>
          </w:p>
        </w:tc>
        <w:tc>
          <w:tcPr>
            <w:tcW w:w="6628" w:type="dxa"/>
            <w:vAlign w:val="center"/>
          </w:tcPr>
          <w:p w14:paraId="1C437EC7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da área &gt;</w:t>
            </w:r>
          </w:p>
        </w:tc>
      </w:tr>
      <w:tr w:rsidR="00877129" w14:paraId="3BE4580D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5472074B" w14:textId="77777777" w:rsidR="00877129" w:rsidRDefault="00ED2533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Sublinha 1</w:t>
            </w:r>
          </w:p>
        </w:tc>
        <w:tc>
          <w:tcPr>
            <w:tcW w:w="6628" w:type="dxa"/>
            <w:vAlign w:val="center"/>
          </w:tcPr>
          <w:p w14:paraId="358EA1DC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sublinha 1 &gt;</w:t>
            </w:r>
          </w:p>
        </w:tc>
      </w:tr>
      <w:tr w:rsidR="00877129" w14:paraId="06DAF68E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4212D07A" w14:textId="77777777" w:rsidR="00877129" w:rsidRDefault="00ED2533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Sublinha 2</w:t>
            </w:r>
          </w:p>
        </w:tc>
        <w:tc>
          <w:tcPr>
            <w:tcW w:w="6628" w:type="dxa"/>
            <w:vAlign w:val="center"/>
          </w:tcPr>
          <w:p w14:paraId="66D4A56B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sublinha 2 &gt;</w:t>
            </w:r>
          </w:p>
        </w:tc>
      </w:tr>
      <w:tr w:rsidR="00877129" w14:paraId="72793C70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193162A8" w14:textId="77777777" w:rsidR="00877129" w:rsidRDefault="00ED2533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Sublinha 3</w:t>
            </w:r>
          </w:p>
        </w:tc>
        <w:tc>
          <w:tcPr>
            <w:tcW w:w="6628" w:type="dxa"/>
            <w:vAlign w:val="center"/>
          </w:tcPr>
          <w:p w14:paraId="16A27BEF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sublinha 3 &gt;</w:t>
            </w:r>
          </w:p>
        </w:tc>
      </w:tr>
    </w:tbl>
    <w:p w14:paraId="301092DE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1"/>
        <w:tblW w:w="9297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556"/>
        <w:gridCol w:w="3504"/>
      </w:tblGrid>
      <w:tr w:rsidR="00877129" w14:paraId="49B1CE94" w14:textId="77777777">
        <w:trPr>
          <w:cantSplit/>
          <w:jc w:val="center"/>
        </w:trPr>
        <w:tc>
          <w:tcPr>
            <w:tcW w:w="3237" w:type="dxa"/>
            <w:vAlign w:val="center"/>
          </w:tcPr>
          <w:p w14:paraId="06DF23FF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39749CD8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&lt;Código recebido após Carta Consulta&gt;</w:t>
            </w:r>
          </w:p>
        </w:tc>
      </w:tr>
      <w:tr w:rsidR="00877129" w14:paraId="74978355" w14:textId="77777777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454EE1E0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7E3C2D9B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Pública</w:t>
            </w:r>
          </w:p>
        </w:tc>
        <w:tc>
          <w:tcPr>
            <w:tcW w:w="3504" w:type="dxa"/>
            <w:vAlign w:val="center"/>
          </w:tcPr>
          <w:p w14:paraId="65AE8E57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Privada sem fins lucrativos</w:t>
            </w:r>
          </w:p>
        </w:tc>
      </w:tr>
    </w:tbl>
    <w:p w14:paraId="73964B03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9297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877129" w14:paraId="1858C569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67C8AB19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877129" w14:paraId="6F59D8C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209A1321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51DCA57D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18C597B6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877129" w14:paraId="1BEFF73D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64DE95A5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4A1FDA3F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43046DAA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877129" w14:paraId="1518027B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5FECA8E3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877129" w14:paraId="1ED3B80A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5523DF61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5C3D7D01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DF1775D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737D091E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877129" w14:paraId="540933E0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3B482017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5903DEA2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0480C33F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5ACF0BEC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legal&gt;</w:t>
            </w:r>
          </w:p>
        </w:tc>
      </w:tr>
    </w:tbl>
    <w:p w14:paraId="0017FBBC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297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877129" w14:paraId="156BDD2D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3321093B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do grupo candidato - onde estará instalada a Unidade EMBRAPII</w:t>
            </w:r>
          </w:p>
        </w:tc>
      </w:tr>
      <w:tr w:rsidR="00877129" w14:paraId="3515B823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6610C610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2C8B2EED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72940F23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877129" w14:paraId="193E9097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1D45EB76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1E66D20E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699521CC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877129" w14:paraId="271E2AD4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03D9F8A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grupo candidato</w:t>
            </w:r>
          </w:p>
        </w:tc>
      </w:tr>
      <w:tr w:rsidR="00877129" w14:paraId="2E561AAA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B5DDB9C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ABECC48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4AFD37A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5850C9AF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877129" w14:paraId="7B0BFE25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3849A84D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7CCA62D1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responsável]</w:t>
            </w:r>
          </w:p>
        </w:tc>
        <w:tc>
          <w:tcPr>
            <w:tcW w:w="1985" w:type="dxa"/>
            <w:vAlign w:val="center"/>
          </w:tcPr>
          <w:p w14:paraId="7B3DEBC0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118A2076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&gt;</w:t>
            </w:r>
          </w:p>
        </w:tc>
      </w:tr>
    </w:tbl>
    <w:p w14:paraId="1621C2E3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9297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877129" w14:paraId="751A3BB4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283E323E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Dados da Gestora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Financeira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se pertinente</w:t>
            </w:r>
          </w:p>
        </w:tc>
      </w:tr>
      <w:tr w:rsidR="00877129" w14:paraId="7E4AA2A2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A7157AA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378" w:type="dxa"/>
            <w:gridSpan w:val="2"/>
            <w:vAlign w:val="center"/>
          </w:tcPr>
          <w:p w14:paraId="393CBE32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6A5948CC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Cidade - UF: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877129" w14:paraId="6C4F9530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104E099B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1CD33064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6CF41ED4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CEP: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877129" w14:paraId="63B797EE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441B3B1D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877129" w14:paraId="75C9ECAA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54C81D8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331E0307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166E8EE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402AD95" w14:textId="77777777" w:rsidR="00877129" w:rsidRDefault="00ED2533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877129" w14:paraId="3A291CA4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5E893728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coordenador legal&gt;</w:t>
            </w:r>
          </w:p>
        </w:tc>
        <w:tc>
          <w:tcPr>
            <w:tcW w:w="2268" w:type="dxa"/>
            <w:vAlign w:val="center"/>
          </w:tcPr>
          <w:p w14:paraId="5115EE0B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coordenador &gt;</w:t>
            </w:r>
          </w:p>
        </w:tc>
        <w:tc>
          <w:tcPr>
            <w:tcW w:w="2127" w:type="dxa"/>
            <w:vAlign w:val="center"/>
          </w:tcPr>
          <w:p w14:paraId="515A0725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05D0E68B" w14:textId="77777777" w:rsidR="00877129" w:rsidRDefault="00ED253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coordenador&gt;</w:t>
            </w:r>
          </w:p>
        </w:tc>
      </w:tr>
    </w:tbl>
    <w:p w14:paraId="563C979E" w14:textId="77777777" w:rsidR="00877129" w:rsidRDefault="0087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172A5" w14:textId="77777777" w:rsidR="00877129" w:rsidRDefault="0087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E81382" w14:textId="77777777" w:rsidR="00877129" w:rsidRDefault="0087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877129">
          <w:pgSz w:w="11906" w:h="16838"/>
          <w:pgMar w:top="1417" w:right="1701" w:bottom="1417" w:left="1701" w:header="708" w:footer="708" w:gutter="0"/>
          <w:cols w:space="720"/>
        </w:sectPr>
      </w:pPr>
    </w:p>
    <w:p w14:paraId="05414DE7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0749404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Área de competência proposta</w:t>
      </w:r>
      <w:bookmarkEnd w:id="2"/>
    </w:p>
    <w:p w14:paraId="35564B25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páginas&gt;</w:t>
      </w:r>
    </w:p>
    <w:p w14:paraId="4A8D9512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&lt;Vide focos temáticos trazidos na chamada para detalhar os aspectos solicitados a seguir sobre a área de competência pleiteada no credenciamento. O foco temático escolhido deve também ser aqui explicitado.</w:t>
      </w:r>
    </w:p>
    <w:p w14:paraId="349CAA15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área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competência caracteriza a especialização e a identidade temática do grupo candidato, fundamentadas na experiência demonstrada no pleito ao credenciamento (ETAPA 1). O entendimento claro da área de competência do grupo candidato e do seu eixo de atuação é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estabelecido pelas sublinhas da área de competência. </w:t>
      </w:r>
    </w:p>
    <w:p w14:paraId="7935B999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sublinhas devem ser complementares entre si e direcionadoras das ações do grupo na área de credenciamento pleiteada. As sublinhas também devem permitir o aprofundamento e o adensamento do conteúdo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nos projetos a serem desenvolvidos para as indústrias. Sua delimitação não deve restringir o seu escopo de atuação e seu mercado, tampouco ser genérica para configurar um conjunto de especializações dispersas e sem foco de atuação específico.</w:t>
      </w:r>
    </w:p>
    <w:p w14:paraId="1D1E17D9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 b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ase nas definições acima, discorra sobre a área de 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 no credenciamento, descrevendo-a brevemente e apresentando explicitamente o seu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título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as suas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sublinhas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– nesta descrição considere a competência em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a ser ofertada ao merca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(empresas) pelo grupo candidato, porém não a importância da área para este mercado. </w:t>
      </w:r>
    </w:p>
    <w:p w14:paraId="26859DA6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Estabeleça um paralelo entre a área de competência proposta e suas sublinhas com o histórico de atuação do grupo candidato nessa área, considerando as tendências em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&amp;I, demonstrando que a experiência em P,D&amp;I apresentada na planilha Excel® (ETAPA 1) subsidia a área de competência pleiteada no credenciamento.&gt;</w:t>
      </w:r>
    </w:p>
    <w:p w14:paraId="6EFDBD86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0749404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Instituição proponente</w:t>
      </w:r>
      <w:bookmarkEnd w:id="3"/>
    </w:p>
    <w:p w14:paraId="175C9DD1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páginas&gt;</w:t>
      </w:r>
    </w:p>
    <w:p w14:paraId="571F1033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&lt;Descreva os tipos de atividades desenvolvidas pela instituição proponente (ex. formação de recursos humanos, pesquisa básica, pesquisa aplicada, serviços tecnológicos, certificações, etc.) e sua prioridade institucional de atuação. Discorra sobre o enquad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ramento de um eventual credenciamento EMBRAPII no escopo institucional de atividades e na sua estratégia de médio e longo prazos, lembrando que o credenciamento EMBRAPII é destinado ao desenvolvimento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sob demanda de empresas industriais, para a ge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ração de inovações.&gt;</w:t>
      </w:r>
    </w:p>
    <w:p w14:paraId="5DBD53FC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Toc10749404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candidato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3"/>
      </w:r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4BD41F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páginas&gt;</w:t>
      </w:r>
    </w:p>
    <w:p w14:paraId="4F15807A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&lt;Vide definições EMBRAPII na chamada para detalhar os aspectos solicitados a seguir&gt;</w:t>
      </w:r>
    </w:p>
    <w:p w14:paraId="06EEB2A6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&lt;Caracterize a experiência do grupo candidato no desenvolvimento de projetos de Pesquisa, Desenvolvimento &amp; Inovação (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&amp;I), na área de competência proposta e para empresas do setor industrial, destacando o impacto (para os contratantes) dos projetos list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ados como experiência na Planilha Excel® (ETAPA 1). Nessa caracterização destaque as inovações e tecnologias desenvolvidas nos projetos listados como experiência do grupo candidato. Para isso selecione os projetos que melhor fundamentem a experiência em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do grupo candidato, na área na qual se pleiteia o credenciamento.</w:t>
      </w:r>
    </w:p>
    <w:p w14:paraId="0E48341E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brevemente sobre o histórico de desenvolvimento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para empresas pelo grupo candidato na área de competência pleiteada, o volume captado de recursos, as estratégias usadas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combinação de fontes de financiamento (ex. agências de fomento, orçamento próprio, fontes internacionais, receitas diretas de P,D&amp;I vendidas, licenciamento de tecnologias, receitas de serviços correntes, royalties etc.). Apresente ainda os principais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resultados alcançados na forma de pedidos de patentes, registros de softwares, novos produtos ou processos, ou quaisquer outras formas de proteção de resultados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usados pelo grupo candidato.&gt;</w:t>
      </w:r>
    </w:p>
    <w:p w14:paraId="03042404" w14:textId="77777777" w:rsidR="00877129" w:rsidRDefault="00ED2533">
      <w:pPr>
        <w:pStyle w:val="Ttulo2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Toc10749404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proponente</w:t>
      </w:r>
      <w:bookmarkEnd w:id="7"/>
    </w:p>
    <w:p w14:paraId="50E65B02" w14:textId="77777777" w:rsidR="00877129" w:rsidRDefault="00877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3E465A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inas&gt;</w:t>
      </w:r>
    </w:p>
    <w:p w14:paraId="601DC761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&lt;Considerando que a equipe é apresentada na planilha Excel® (ETAPA 1) é parte da documentação obrigatória ao credenciamento, aqui ela não deve ser listada. A tabela do Excel poderá vir a ser transcrita para este tópico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após o término do processo de 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eleção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mediante orientações da EMBRAPII sobre eventuais ajustes na informação apresentada.</w:t>
      </w:r>
    </w:p>
    <w:p w14:paraId="7176C886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Neste tópico, apresente inicialmente a súmula curricular de até seis (6) principais membros da equipe que participarão das atividades credenciadas, cuja formação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experiência sustentam a área de competência na qual se pleiteia o credenciamento e suas sublinhas. Considerando o objetivo primeiro da EMBRAPII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 xml:space="preserve">realizar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&amp;I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para empresas industrias demandantes de inovações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destaque nas súmulas curriculares as especi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alidades da formação, as experiências com o desenvolvimento de P,D&amp;I para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empresas industriais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liderança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cada um dos seis membros sobre a equipe do grupo candidato. Se necessário, outros detalhes dos currículos (produção acadêmica, histórico profiss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ional, etc.) serão recuperados pela EMBRAPII no processo de credenciamento, portanto, não devem ser aqui inseridos.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Cada súmula curricular está limitada a 120 palavras – tamanho deste parágrafo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4F7B948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Além do acima solicitado, discorra brevemente sobre a estraté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gia (ex. plano de médio e longo prazos, instrumentos normativos, fontes de recursos, priorização de ações para áreas foco, etc.) para manter, aprimorar e eventualmente ampliar a capacitação da equipe na área de credenciamento proposta, delineando assim a 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stratégia de gestão para a manutenção do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quadro de pessoal próprio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garanta a perenidade da equipe.&gt;</w:t>
      </w:r>
    </w:p>
    <w:p w14:paraId="5E8C020E" w14:textId="77777777" w:rsidR="00877129" w:rsidRDefault="00ED2533">
      <w:pPr>
        <w:pStyle w:val="Ttulo2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Toc10749404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Infraestrutura de pesquisa</w:t>
      </w:r>
      <w:bookmarkEnd w:id="8"/>
    </w:p>
    <w:p w14:paraId="3C37B983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páginas&gt;</w:t>
      </w:r>
    </w:p>
    <w:p w14:paraId="40D4BC0B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infraestrutura é também apresentada na planilha Excel® (ETAPA 1), ela não deve ser aqui listada. Se necessário, esclarecimentos sobre este item serão também solicitados pela EMBRAPII em momentos oportunos do processo de credenciamento.</w:t>
      </w:r>
    </w:p>
    <w:p w14:paraId="3C3EC996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ainda que a oferta e a disponibilidade de infraestrutura são requisitos para credenciamento, discorra brevemente sobre o diferencial da infraestrutura apresentada para subsidiar o desenvolvimento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&amp;I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para empresas industriais na área de 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ompetência proposta para credenciamento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Destaque, por exemplo, a atualidade da infraestrutura, seu diferencial científico e/ou tecnológico na área, a capacidade de produção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&amp;I, a importância para o mercado industrial de P,D&amp;I, foco do credenciamento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eventuais certificações (INMETRO, ANVISA, etc.), e outros detalhes que caracterizem o diferencial das instalações de P,D&amp;I ofertadas pelo grupo candidato para a atuação como grupo EMBRAPII credenciado.</w:t>
      </w:r>
    </w:p>
    <w:p w14:paraId="4FC8664B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Além do acima, considerando ainda que projetos EMBRA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PII não envolvem aquisição de equipamentos e a construção de instalações, discorra brevemente sobre a estratégia (ex. plano de médio e longo prazos, instrumentos normativos, fontes de recursos, priorização das áreas foco, etc.) para manter, atualizar e eve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ntualmente aumentar a disponibilidade de infraestrutura de P,D&amp;I na área  a ser credenciada, delineando assim a estratégia de gestão e de manutenção da infraestrutura que garanta a sua perenidade.&gt;</w:t>
      </w:r>
    </w:p>
    <w:p w14:paraId="56092D2D" w14:textId="77777777" w:rsidR="00877129" w:rsidRDefault="00ED2533">
      <w:pPr>
        <w:pStyle w:val="Ttulo2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Toc10749405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Mecanismos de gestão e coordenação</w:t>
      </w:r>
      <w:bookmarkEnd w:id="9"/>
    </w:p>
    <w:p w14:paraId="391700B3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&lt;INSTRUÇÕES – texto lim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páginas&gt;</w:t>
      </w:r>
    </w:p>
    <w:p w14:paraId="42829557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o processo de desenvolvimento de projetos de P,D&amp;I vai desde a prospecção das empresas até a entrega dos resultado às mesmas, passando pela elaboração de propostas, negociação de escopo, negociação financeira, negociaçã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de PI, negociação de direitos e/ou remuneração sobre os resultados, execução do projeto com alocação de equipe e de infraestrutura, ordenação e autorização de despesas, supervisão e orientação de equipes de pesquisa e de gestão, validação de resultados,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entregas e aceite da empresa contratante, encerramento de atividades do projeto, fechamento de contas, etc., discorra brevemente sobre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autonomia decisória e de gestão do grupo candidato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liderado pelo seu responsável nominado no tópico 1 (informações cad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astrais), para realizar o processo de P,D&amp;I descrito, com destaque para:</w:t>
      </w:r>
    </w:p>
    <w:p w14:paraId="26A7FAEE" w14:textId="77777777" w:rsidR="00877129" w:rsidRDefault="00ED2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Processos e instrumentos utilizados mencionando eventuais sistemas de gestão adotados (ex., norma NBR 16501),</w:t>
      </w:r>
    </w:p>
    <w:p w14:paraId="15524B83" w14:textId="77777777" w:rsidR="00877129" w:rsidRDefault="00ED2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Ferramentas de acompanhamento e controle de projetos e portfólio,</w:t>
      </w:r>
    </w:p>
    <w:p w14:paraId="1127AC45" w14:textId="77777777" w:rsidR="00877129" w:rsidRDefault="00ED2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Instâncias decisórias nas diferentes etapas do processo (ex.: chefias, diretoria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s, conselhos, assessorias, secretarias, etc.) </w:t>
      </w:r>
    </w:p>
    <w:p w14:paraId="3A089813" w14:textId="77777777" w:rsidR="00877129" w:rsidRDefault="00ED2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Prazos típicos de execução deste processo segundo histórico do grupo candidato (Planilha Excel® – Informações Quantitativas – experiência em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&amp;I). </w:t>
      </w:r>
    </w:p>
    <w:p w14:paraId="76BEF5E7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Note-se que as atividades acima listadas são compatíveis 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Sistema de Excelência Operacional EMBRAPII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são usadas na Planilha Excel® – Informações Quantitativas ETAPA 1- para caracterizar o papel de cada membro da equipe. Com este conteúdo deve-se delinear brevemente a governança do grupo candidato sobre suas próprias atividades, bem como a estrutura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gestão já disponível e operacional para atuar como grupo EMBRAPII credenciado.&gt;</w:t>
      </w:r>
    </w:p>
    <w:p w14:paraId="16EC996E" w14:textId="77777777" w:rsidR="00877129" w:rsidRDefault="00ED2533">
      <w:pPr>
        <w:pStyle w:val="Ttulo2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Toc10749405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da inovação e propriedade intelectual</w:t>
      </w:r>
      <w:bookmarkEnd w:id="11"/>
    </w:p>
    <w:p w14:paraId="0DC6C3D7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páginas&gt;</w:t>
      </w:r>
    </w:p>
    <w:p w14:paraId="1D53CF65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Política ou Diretriz de Propriedade Intelectual (PI) vigente é docume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nto de apresentação obrigatória ao credenciamento, ela não deve ser aqui reapresentada. Se necessário, esclarecimentos sobre este item serão também solicitados pela EMBRAPII.</w:t>
      </w:r>
    </w:p>
    <w:p w14:paraId="334829B0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Neste tópico, discorra brevemente sobre as práticas do grupo candidato na formula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ção e na negociação de Propriedade Intelectual, nos direitos sobre resultados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já realizados, usando como referência o praticado nos projetos apresentados como experiência da equipe (planilha Excel® – Informações Quantitativas ETAPA 1). Destaque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ve ser dado às práticas usadas, à flexibilidade e à autonomia do grupo candidato na negociação com empresas, às instâncias decisórias e deliberativas da instituição e aos prazos tipicamente praticados, incluindo o eventual envolvimento de grupos especializ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ados de apoio (ex.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NITs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).&gt; </w:t>
      </w:r>
    </w:p>
    <w:p w14:paraId="7274102A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Toc10749405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Mercado 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&amp;I na área proposta</w:t>
      </w:r>
      <w:bookmarkEnd w:id="12"/>
    </w:p>
    <w:p w14:paraId="699D032E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páginas&gt;</w:t>
      </w:r>
    </w:p>
    <w:p w14:paraId="478FF984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&lt;Mercado (foco da ação EMBRAPII) – a identificação do mercado foco da atuação do grupo candidato é um dos componentes chave no credenciamento, pois os p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rojetos EMBRAPII deverão ser sempre elaborados e executados sob demanda de empresas industriais. O delineamento do mercado foco deve permitir o entendimento do grupo candidato sobre o seu mercado potencial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&amp;I, na sua área de competência, bem como a v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isualização dos potenciais clientes (empresas) e concorrentes (desenvolvedores de P,D&amp;I). O mercado deve delinear o ambiente econômico e as tecnologias foco da atuação credenciada, considerando o perfil das empresas demandantes e dos concorrentes. Assim se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ndo, a análise de mercado deve demonstrar: (i) o mercado almejado de empresas, ou seja, quais empresas industriais se pretende atender com o desenvolvimento de projetos de P,D&amp;I;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 os segmentos industriais em que se pretende atuar;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 a relevância da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área de competência para a indústria;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 as forças e fraquezas do grupo como provedor de P,D&amp;I; (v) a existência ou não de desenvolvedores de P,D&amp;I concorrentes na área credenciada; (vi) a estimativa de inserção do grupo candidato como provedor de P,D&amp;I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mercado foco;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vii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 a sustentabilidade da ação EMBRAPII a ser credenciada, ou seja  a longevidade do mercado, suas tendências, etc.</w:t>
      </w:r>
    </w:p>
    <w:p w14:paraId="796415D1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Note-se que esta análise enuncia o entendimento da equipe proponente sobre o mercado no qual se pretende atuar. Por isso a análise de mercado na área proposta deve se concentrar no mercado de PD&amp;I potencialmente alcançável pelo grupo candidato.&gt;</w:t>
      </w:r>
    </w:p>
    <w:p w14:paraId="0FA5DD1A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Toc10749405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Mercados 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experiências específicas em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&amp;I industrial</w:t>
      </w:r>
      <w:bookmarkEnd w:id="13"/>
    </w:p>
    <w:p w14:paraId="691FF0C1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página&gt;</w:t>
      </w:r>
    </w:p>
    <w:p w14:paraId="096412CE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&lt;A EMBRAPII possuí programas especiais de fomento voltados para ações estratégicas específicas, como é o caso do Programa Prioritário ROTA 2030 e do PPI em IOT/Manufatur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4.0, além de acordos com outros agentes de fomento à inovação - como o é o caso da parceria EMBRAPII-SEBRAE focalizada nas pequenas empresas. </w:t>
      </w:r>
    </w:p>
    <w:p w14:paraId="5F321185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Programa ROTA 2030 é uma ação transversal focalizada na cadeia de fornecedores do setor de mobilidade e logís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tica, abrangendo áreas como biocombustíveis, manufatura avançada, Internet das Coisas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), conectividade, ferramentaria, novas tecnologias de propulsão, novos materiais, TICs, entre outras. Detalhes estão disponíveis em </w:t>
      </w:r>
      <w:hyperlink r:id="rId11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https://embrapii.org.br/rota-2030/</w:t>
        </w:r>
      </w:hyperlink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1ED70D5C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Programa Prioritário (PPI) em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/Manufatura 4.0 é um mecanismo adicional para que as empresas beneficiadas pela Lei de Informática (Lei nº 8.248/1991) cumpram com as responsabilidades legais de investimento em atividades de Pesquisa, Desenvolvimento e 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novação (PD&amp;I) nessa área. Detalhes estão disponíveis em </w:t>
      </w:r>
      <w:hyperlink r:id="rId12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https://embrapii.org.br/programas-embrapii/ppi/</w:t>
        </w:r>
      </w:hyperlink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Ressalta-se que essa possibilidade de financiamento exige o registro da Unidade credenciada no CATI (Comitê da Área de Tecnologia da Informação).</w:t>
      </w:r>
    </w:p>
    <w:p w14:paraId="3B28476E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Já a parceria EMBRAPII-SEBRAE provê mecanismos para o financiamento de proje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tos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para pequenas empresas, associadas ou não entre si e com médias / grandes empresas, proporcionando tanto oportunidades para a geração de inovações quanto para a associação cooperativa de empresas dentro das cadeias produtivas no desenvolvimento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projetos que visem inovações.</w:t>
      </w:r>
    </w:p>
    <w:p w14:paraId="13492BF8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Nesse tópico deve-se inicialmente discorrer sobre a experiência do grupo candidato no desenvolvimento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nos três contextos acima delineados, quais sejam: (i) P,D&amp;I  para empresas da cadeia de fornecedores do setor aut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omobilístico e de mobilidade e logística;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)  em temas ligados à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/Manufatura 4.0; e/ou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 para pequenas empresas, com destaque para a experiência do grupo no desenvolvimento de projetos cooperativos envolvendo várias empresas. Pede-se ainda destaca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 experiências do grupo com startups, com aceleradoras e/ou incubadoras.</w:t>
      </w:r>
    </w:p>
    <w:p w14:paraId="792876DF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Baseando-se no histórico do grupo (conforme planilha Excel® – informações quantitativas ETAPA 1), deve-se discorrer sobre as perspectivas (expectativas) de atuação do grupo nos contex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tos acima delineados. </w:t>
      </w:r>
    </w:p>
    <w:p w14:paraId="2065488B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(ex. número de projetos, produtos desenvolvidos, número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empresas atendidas, volumes de recursos envolvidos, inovações produzidas,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depositadas, etc.) dos projetos já realizados e a realizar em cada contexto.&gt;</w:t>
      </w:r>
    </w:p>
    <w:p w14:paraId="689CB5F7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Toc1074940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de captação de projetos</w:t>
      </w:r>
      <w:bookmarkEnd w:id="14"/>
    </w:p>
    <w:p w14:paraId="5EFDAAC8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páginas&gt;</w:t>
      </w:r>
    </w:p>
    <w:p w14:paraId="448DA3A1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&lt;Discorra sobre a 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tratégia da equipe para a prospecção de projetos com indústrias na área de credenciamento proposta. Pede-se detalhar a estratégia para a busca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novas oportunidades de parcerias com empresas (ex. visitas, eventos e outras formas de prospecção já usada pel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grupo), considerando que a prospecção não pode ser direcionada para uma única empresa ou grupo industrial específico, tampouco restrita local ou geograficamente. </w:t>
      </w:r>
    </w:p>
    <w:p w14:paraId="08CB43B0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Descreva também como o grupo candidato já está estruturado para a prospecção de projetos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em empresas, considerando as práticas já realizadas e os recursos humanos (qualificados) ofertados para o credenciamento, além das práticas e ferramentas de prospecção já utilizadas. Cabe notar que a estratégia aqui enunciada deve conter práticas já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operacionais no grupo, ser coerente com o mercado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acima discutido e compatível com a totalidade dos compromissos assumidos pelo grupo - expresso pelo orçamento proposto e demais metas pactuadas no credenciamento.&gt;</w:t>
      </w:r>
    </w:p>
    <w:p w14:paraId="78F07580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Toc1074940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Financiamento da ação EMBRAPII</w:t>
      </w:r>
      <w:bookmarkEnd w:id="16"/>
    </w:p>
    <w:p w14:paraId="3BD8A30A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INSTRUÇÕES – texto limitado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páginas&gt;</w:t>
      </w:r>
    </w:p>
    <w:p w14:paraId="00F39413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o planejamento econômico-financeiro é apresentado na planilha Excel® – Informações Quantitativas ETAPA 2 ele não deve ser aqui reproduzido. A tabela do Excel – informações quantitativas – poderá se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 transcrita para este tópico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após o término do processo de seleção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mediante orientações da EMBRAPII sobre eventuais ajustes na informação apresentada.</w:t>
      </w:r>
    </w:p>
    <w:p w14:paraId="1B843D6C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Neste tópico, analise comparativamente o volume total de recursos previstos no credenciamento (fontes EMBRAPII, Empresas e grupo candidato – contrapartida) com aqueles mobilizados e listados no histórico de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&amp;I apresentado (planilha Excel® – informações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quantitativas ETAPA 1), ponderando o valor médio dos projetos já realizados e a realizar, além do tamanho da equipe responsável pela execução dos projetos nos prazos estabelecidos. </w:t>
      </w:r>
    </w:p>
    <w:p w14:paraId="3B352BA2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Nesta análise, pode-se considerar um incremento exequível de recursos em 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elação ao histórico de atuação do grupo candidato, na área de competência, ponderando também os demais aspectos discutidos neste plano (mercado, equipe, infraestrutura, prazos, gestão, etc.). </w:t>
      </w:r>
    </w:p>
    <w:p w14:paraId="01D7AB34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 especial deve ser dado para a oferta obrigatória de co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ntrapartida econômica ou financeira pelo grupo candidato, conforme regras estabelecidas pela EMBRAPII</w:t>
      </w:r>
      <w:r>
        <w:rPr>
          <w:color w:val="80808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49CF8E4E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análise deve considerar também que os recursos da EMBRAPII são destinados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exclusivamente para custeio dos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enquanto os projetos demonstrado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no histórico podem ter envolvido outros gastos (ex. montagem de infraestrutura, compra de equipamentos, capacitação de equipe, etc.). </w:t>
      </w:r>
    </w:p>
    <w:p w14:paraId="3A932AD1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Destaca-se ainda que a demanda por recursos da EMBRAPII deve ser compatível com a expectativa de alcance do mercado pel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grupo e com as metas pactuadas no ato do credenciamento (ex. número de prospecções, número de propostas técnicas, número de projetos a contratar, número de empresas contratantes, etc.).&gt;</w:t>
      </w:r>
    </w:p>
    <w:p w14:paraId="3ADE74A9" w14:textId="77777777" w:rsidR="00877129" w:rsidRDefault="00ED2533">
      <w:pPr>
        <w:pStyle w:val="Ttulo1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Toc10749405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Resultados esperados com o credenciamento</w:t>
      </w:r>
      <w:bookmarkEnd w:id="17"/>
    </w:p>
    <w:p w14:paraId="032E3DFB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&lt;INSTRUÇÕES – texto limit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ado 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páginas&gt;</w:t>
      </w:r>
    </w:p>
    <w:p w14:paraId="200C7DB5" w14:textId="77777777" w:rsidR="00877129" w:rsidRDefault="00ED253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&lt;Discorra resumidamente sobre os impactos esperados do credenciamento EMBRAPII no grupo candidato, seja em termos de aumento de negócios, aprimoramento do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P,D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&amp;I desenvolvido, ampliação de mercado, profissionalização das atividades de P,D&amp;I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profissionalização na gestão do desenvolvimento de P,D&amp;I, ou qualquer outro aspecto relevante dentro da estratégia da instituição proponente do credenciamento, conforme seção 3 deste Plano de Ação.&gt;</w:t>
      </w:r>
    </w:p>
    <w:p w14:paraId="1A3F5316" w14:textId="77777777" w:rsidR="00877129" w:rsidRDefault="0087712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  <w:sectPr w:rsidR="00877129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0A6344AB" w14:textId="77777777" w:rsidR="00877129" w:rsidRDefault="00ED2533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z337ya" w:colFirst="0" w:colLast="0"/>
      <w:bookmarkStart w:id="19" w:name="_Toc107494057"/>
      <w:bookmarkEnd w:id="1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– Definição indicadores de desempenho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6"/>
      </w:r>
      <w:bookmarkEnd w:id="19"/>
    </w:p>
    <w:p w14:paraId="1D4E0726" w14:textId="77777777" w:rsidR="00877129" w:rsidRDefault="00877129">
      <w:pPr>
        <w:spacing w:line="240" w:lineRule="auto"/>
        <w:ind w:firstLine="360"/>
        <w:jc w:val="both"/>
        <w:rPr>
          <w:rFonts w:ascii="Cambria" w:eastAsia="Cambria" w:hAnsi="Cambria" w:cs="Cambria"/>
          <w:sz w:val="24"/>
          <w:szCs w:val="24"/>
        </w:rPr>
      </w:pPr>
    </w:p>
    <w:p w14:paraId="55750B07" w14:textId="77777777" w:rsidR="00877129" w:rsidRDefault="00ED2533">
      <w:pPr>
        <w:spacing w:line="240" w:lineRule="auto"/>
        <w:ind w:firstLine="36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Para proposição das metas, considere-se as seguintes definições dos indicadores:</w:t>
      </w:r>
    </w:p>
    <w:tbl>
      <w:tblPr>
        <w:tblStyle w:val="a5"/>
        <w:tblW w:w="8789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3260"/>
        <w:gridCol w:w="3402"/>
      </w:tblGrid>
      <w:tr w:rsidR="00877129" w14:paraId="6A9E9542" w14:textId="77777777">
        <w:trPr>
          <w:cantSplit/>
          <w:tblHeader/>
        </w:trPr>
        <w:tc>
          <w:tcPr>
            <w:tcW w:w="567" w:type="dxa"/>
            <w:vAlign w:val="center"/>
          </w:tcPr>
          <w:p w14:paraId="0634FDAA" w14:textId="77777777" w:rsidR="00877129" w:rsidRDefault="00ED2533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60" w:type="dxa"/>
            <w:vAlign w:val="center"/>
          </w:tcPr>
          <w:p w14:paraId="39F4085F" w14:textId="77777777" w:rsidR="00877129" w:rsidRDefault="00ED2533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Título do indicador</w:t>
            </w:r>
          </w:p>
        </w:tc>
        <w:tc>
          <w:tcPr>
            <w:tcW w:w="3260" w:type="dxa"/>
            <w:vAlign w:val="center"/>
          </w:tcPr>
          <w:p w14:paraId="61F20564" w14:textId="77777777" w:rsidR="00877129" w:rsidRDefault="00ED2533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Definição</w:t>
            </w:r>
          </w:p>
        </w:tc>
        <w:tc>
          <w:tcPr>
            <w:tcW w:w="3402" w:type="dxa"/>
          </w:tcPr>
          <w:p w14:paraId="1CC5C837" w14:textId="77777777" w:rsidR="00877129" w:rsidRDefault="00ED2533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Apuração</w:t>
            </w:r>
          </w:p>
        </w:tc>
      </w:tr>
      <w:tr w:rsidR="00877129" w14:paraId="37094F90" w14:textId="77777777">
        <w:trPr>
          <w:cantSplit/>
        </w:trPr>
        <w:tc>
          <w:tcPr>
            <w:tcW w:w="567" w:type="dxa"/>
            <w:vAlign w:val="center"/>
          </w:tcPr>
          <w:p w14:paraId="60D0F66B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4B8A40DC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Empresas prospectadas</w:t>
            </w:r>
          </w:p>
        </w:tc>
        <w:tc>
          <w:tcPr>
            <w:tcW w:w="3260" w:type="dxa"/>
            <w:vAlign w:val="center"/>
          </w:tcPr>
          <w:p w14:paraId="11E71789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empresas mapeadas como parceiras em projetos EMBRAPII, no ano de referência.</w:t>
            </w:r>
          </w:p>
        </w:tc>
        <w:tc>
          <w:tcPr>
            <w:tcW w:w="3402" w:type="dxa"/>
            <w:vAlign w:val="center"/>
          </w:tcPr>
          <w:p w14:paraId="697E8D8D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Consideram-se as prospecções integralmente cadastradas e com informações completas no sistema de registro de informações (SRINFO) da EMBRAPII </w:t>
            </w:r>
          </w:p>
        </w:tc>
      </w:tr>
      <w:tr w:rsidR="00877129" w14:paraId="5096D2A1" w14:textId="77777777">
        <w:trPr>
          <w:cantSplit/>
        </w:trPr>
        <w:tc>
          <w:tcPr>
            <w:tcW w:w="567" w:type="dxa"/>
            <w:vAlign w:val="center"/>
          </w:tcPr>
          <w:p w14:paraId="7B3E0C05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14:paraId="16600B50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Propostas técnicas</w:t>
            </w:r>
          </w:p>
        </w:tc>
        <w:tc>
          <w:tcPr>
            <w:tcW w:w="3260" w:type="dxa"/>
            <w:vAlign w:val="center"/>
          </w:tcPr>
          <w:p w14:paraId="7D9EBA53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propostas técnicas elaboradas pela Unidade EMBRAPII, no ano de referência</w:t>
            </w:r>
          </w:p>
        </w:tc>
        <w:tc>
          <w:tcPr>
            <w:tcW w:w="3402" w:type="dxa"/>
            <w:vAlign w:val="center"/>
          </w:tcPr>
          <w:p w14:paraId="4D5F002E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das propostas devidamente cadastradas no sistema de registro de informações (SRINFO) da EMBRAPII</w:t>
            </w:r>
          </w:p>
        </w:tc>
      </w:tr>
      <w:tr w:rsidR="00877129" w14:paraId="48BDF477" w14:textId="77777777">
        <w:trPr>
          <w:cantSplit/>
        </w:trPr>
        <w:tc>
          <w:tcPr>
            <w:tcW w:w="567" w:type="dxa"/>
            <w:vAlign w:val="center"/>
          </w:tcPr>
          <w:p w14:paraId="451B563C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44C81D47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Projetos contratados</w:t>
            </w:r>
          </w:p>
        </w:tc>
        <w:tc>
          <w:tcPr>
            <w:tcW w:w="3260" w:type="dxa"/>
            <w:vAlign w:val="center"/>
          </w:tcPr>
          <w:p w14:paraId="4C1812B2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projetos cont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ratados por empresas juntos à Unidade, no ano de referência</w:t>
            </w:r>
          </w:p>
        </w:tc>
        <w:tc>
          <w:tcPr>
            <w:tcW w:w="3402" w:type="dxa"/>
            <w:vAlign w:val="center"/>
          </w:tcPr>
          <w:p w14:paraId="529211B3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dos projetos formalizados e com contratos registrados no sistema de registro de informações (SRINFO) da EMBRAPII</w:t>
            </w:r>
          </w:p>
        </w:tc>
      </w:tr>
      <w:tr w:rsidR="00877129" w14:paraId="3BC48FA6" w14:textId="77777777">
        <w:trPr>
          <w:cantSplit/>
        </w:trPr>
        <w:tc>
          <w:tcPr>
            <w:tcW w:w="567" w:type="dxa"/>
            <w:vAlign w:val="center"/>
          </w:tcPr>
          <w:p w14:paraId="3A585D69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14:paraId="6B04595D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Empresas contratantes</w:t>
            </w:r>
          </w:p>
        </w:tc>
        <w:tc>
          <w:tcPr>
            <w:tcW w:w="3260" w:type="dxa"/>
            <w:vAlign w:val="center"/>
          </w:tcPr>
          <w:p w14:paraId="20E524EC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empresas contratantes de projetos EMBRA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PII com a Unidade credenciada, no ano de referência </w:t>
            </w:r>
          </w:p>
          <w:p w14:paraId="11C62703" w14:textId="77777777" w:rsidR="00877129" w:rsidRDefault="00877129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9D3572F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das empresas devidamente cadastradas no sistema de registro de informações (SRINFO) da EMBRAPII como contratantes de projetos, distintas pelo CNPJ de 14 dígitos</w:t>
            </w:r>
          </w:p>
        </w:tc>
      </w:tr>
      <w:tr w:rsidR="00877129" w14:paraId="45C5F25C" w14:textId="77777777">
        <w:trPr>
          <w:cantSplit/>
        </w:trPr>
        <w:tc>
          <w:tcPr>
            <w:tcW w:w="567" w:type="dxa"/>
            <w:vAlign w:val="center"/>
          </w:tcPr>
          <w:p w14:paraId="7EC7AA98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14:paraId="4CE87A83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Eventos com empresas</w:t>
            </w:r>
          </w:p>
        </w:tc>
        <w:tc>
          <w:tcPr>
            <w:tcW w:w="3260" w:type="dxa"/>
            <w:vAlign w:val="center"/>
          </w:tcPr>
          <w:p w14:paraId="0DB0BFA5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eventos promovidos pela Unidade credenciada para divulgação do modelo para empresas, no ano de referência.</w:t>
            </w:r>
          </w:p>
        </w:tc>
        <w:tc>
          <w:tcPr>
            <w:tcW w:w="3402" w:type="dxa"/>
            <w:vAlign w:val="center"/>
          </w:tcPr>
          <w:p w14:paraId="50B4DE6E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do registro de eventos devidamente cadastrados no sistema de registro de informações (SRINFO) da EMBRAPII</w:t>
            </w:r>
          </w:p>
        </w:tc>
      </w:tr>
      <w:tr w:rsidR="00877129" w14:paraId="6A91AF93" w14:textId="77777777">
        <w:trPr>
          <w:cantSplit/>
        </w:trPr>
        <w:tc>
          <w:tcPr>
            <w:tcW w:w="567" w:type="dxa"/>
            <w:vAlign w:val="center"/>
          </w:tcPr>
          <w:p w14:paraId="55EF8970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14:paraId="61787B9B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Pedidos de Propriedade intelectual (PI)</w:t>
            </w:r>
          </w:p>
        </w:tc>
        <w:tc>
          <w:tcPr>
            <w:tcW w:w="3260" w:type="dxa"/>
            <w:vAlign w:val="center"/>
          </w:tcPr>
          <w:p w14:paraId="662AD50E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pedidos de propriedade intelectual (PI) depositados no INPI, no ano de referência.</w:t>
            </w:r>
          </w:p>
        </w:tc>
        <w:tc>
          <w:tcPr>
            <w:tcW w:w="3402" w:type="dxa"/>
            <w:vAlign w:val="center"/>
          </w:tcPr>
          <w:p w14:paraId="143C5B92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A partir dos pedidos de propriedade intelectual cadastrados no sistema de registro de informações (SRINFO) da EMBRAPII </w:t>
            </w:r>
          </w:p>
        </w:tc>
      </w:tr>
      <w:tr w:rsidR="00877129" w14:paraId="06DD0DCD" w14:textId="77777777">
        <w:trPr>
          <w:cantSplit/>
        </w:trPr>
        <w:tc>
          <w:tcPr>
            <w:tcW w:w="567" w:type="dxa"/>
            <w:vAlign w:val="center"/>
          </w:tcPr>
          <w:p w14:paraId="72099BCD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14:paraId="75AAFBE9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Participação de alunos em projetos de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</w:rPr>
              <w:t>P,D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</w:rPr>
              <w:t>&amp;I</w:t>
            </w:r>
          </w:p>
        </w:tc>
        <w:tc>
          <w:tcPr>
            <w:tcW w:w="3260" w:type="dxa"/>
            <w:vAlign w:val="center"/>
          </w:tcPr>
          <w:p w14:paraId="3B8EFDF9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Número de alunos capacitados em soft skills nos projetos EMBRAPII como membros das equipes de pesquisa, no ano de referência.</w:t>
            </w:r>
          </w:p>
        </w:tc>
        <w:tc>
          <w:tcPr>
            <w:tcW w:w="3402" w:type="dxa"/>
            <w:vAlign w:val="center"/>
          </w:tcPr>
          <w:p w14:paraId="77B21BAF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dos(as) alunos(as) cadastrados como no sistema de registro de informações (SR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INFO) da EMBRAPII, como membros das equipes dos projetos e participantes do programa de formação de RH para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</w:rPr>
              <w:t>P,D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</w:rPr>
              <w:t>&amp;I.</w:t>
            </w:r>
          </w:p>
        </w:tc>
      </w:tr>
      <w:tr w:rsidR="00877129" w14:paraId="592863D7" w14:textId="77777777">
        <w:trPr>
          <w:cantSplit/>
        </w:trPr>
        <w:tc>
          <w:tcPr>
            <w:tcW w:w="567" w:type="dxa"/>
            <w:vAlign w:val="center"/>
          </w:tcPr>
          <w:p w14:paraId="69672373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8</w:t>
            </w:r>
            <w:r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60" w:type="dxa"/>
            <w:vAlign w:val="center"/>
          </w:tcPr>
          <w:p w14:paraId="34C7D289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Satisfação das Empresas</w:t>
            </w:r>
          </w:p>
        </w:tc>
        <w:tc>
          <w:tcPr>
            <w:tcW w:w="3260" w:type="dxa"/>
            <w:vAlign w:val="center"/>
          </w:tcPr>
          <w:p w14:paraId="70E4B0DA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Medida da satisfação das empresas em relação ao escopo dos projetos, prazos, custo, entregas, relevância dos res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ultados, competência técnica da Unidade, inovação envolvida, gestão de projetos e à contribuição às competências da empresa – avaliada pela EMBRAPII junto às empresas contratantes dos projetos com a Unidade. Avaliação expressa em escala qualitativa de 4 po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ntos (1 a 4), sendo: 1 - muito abaixo do esperado, 2 – abaixo do esperado, 3 – conforme esperado e 4 – acima do esperado.</w:t>
            </w:r>
          </w:p>
          <w:p w14:paraId="1061884B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Medida cumulativa considerando todos os projetos avaliados da Unidade, até o ano de referência.</w:t>
            </w:r>
          </w:p>
        </w:tc>
        <w:tc>
          <w:tcPr>
            <w:tcW w:w="3402" w:type="dxa"/>
            <w:vAlign w:val="center"/>
          </w:tcPr>
          <w:p w14:paraId="08B66AB5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dos projetos contratos, integralmente cadastrados no sistema de registro de informações (SRINFO) da EMBRAPII e avaliados pelas empresas contratantes.</w:t>
            </w:r>
          </w:p>
        </w:tc>
      </w:tr>
      <w:tr w:rsidR="00877129" w14:paraId="15492762" w14:textId="77777777">
        <w:trPr>
          <w:cantSplit/>
        </w:trPr>
        <w:tc>
          <w:tcPr>
            <w:tcW w:w="567" w:type="dxa"/>
            <w:vAlign w:val="center"/>
          </w:tcPr>
          <w:p w14:paraId="7D8B10E2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center"/>
          </w:tcPr>
          <w:p w14:paraId="5B13AFE0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Participação financeira das empresas nos projetos contratados</w:t>
            </w:r>
          </w:p>
        </w:tc>
        <w:tc>
          <w:tcPr>
            <w:tcW w:w="3260" w:type="dxa"/>
            <w:vAlign w:val="center"/>
          </w:tcPr>
          <w:p w14:paraId="1D4F154B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Relação entre o volume de recurs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os financeiros aportados pelas empresas nos projetos EMBRAPII e o valor total dos mesmos projetos, no ano de referência.</w:t>
            </w:r>
          </w:p>
        </w:tc>
        <w:tc>
          <w:tcPr>
            <w:tcW w:w="3402" w:type="dxa"/>
            <w:vAlign w:val="center"/>
          </w:tcPr>
          <w:p w14:paraId="7DF0ADD1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Consideram-se os contratos e projetos integralmente cadastrados e com informações completas no sistema de registro de informações (SRIN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FO) da EMBRAPII</w:t>
            </w:r>
          </w:p>
        </w:tc>
      </w:tr>
      <w:tr w:rsidR="00877129" w14:paraId="61DAE49A" w14:textId="77777777">
        <w:trPr>
          <w:cantSplit/>
        </w:trPr>
        <w:tc>
          <w:tcPr>
            <w:tcW w:w="567" w:type="dxa"/>
            <w:vAlign w:val="center"/>
          </w:tcPr>
          <w:p w14:paraId="3278A934" w14:textId="77777777" w:rsidR="00877129" w:rsidRDefault="00ED2533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10*</w:t>
            </w:r>
          </w:p>
        </w:tc>
        <w:tc>
          <w:tcPr>
            <w:tcW w:w="1560" w:type="dxa"/>
            <w:vAlign w:val="center"/>
          </w:tcPr>
          <w:p w14:paraId="59FFF81F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Taxa de sucesso de propostas técnicas</w:t>
            </w:r>
          </w:p>
        </w:tc>
        <w:tc>
          <w:tcPr>
            <w:tcW w:w="3260" w:type="dxa"/>
            <w:vAlign w:val="center"/>
          </w:tcPr>
          <w:p w14:paraId="4BDE9AFF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Relação entre o número de projetos contratados e o número total de propostas técnicas elaboradas pelas Unidades credenciados, até o ano de referência</w:t>
            </w:r>
          </w:p>
        </w:tc>
        <w:tc>
          <w:tcPr>
            <w:tcW w:w="3402" w:type="dxa"/>
            <w:vAlign w:val="center"/>
          </w:tcPr>
          <w:p w14:paraId="35ED0B65" w14:textId="77777777" w:rsidR="00877129" w:rsidRDefault="00ED2533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 partir dos contratos e das propostas técnicas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integralmente cadastradas, com informações completas no sistema de registro de informações (SRINFO) da EMBRAPII </w:t>
            </w:r>
          </w:p>
        </w:tc>
      </w:tr>
      <w:tr w:rsidR="00877129" w14:paraId="13D68736" w14:textId="77777777">
        <w:trPr>
          <w:cantSplit/>
        </w:trPr>
        <w:tc>
          <w:tcPr>
            <w:tcW w:w="8789" w:type="dxa"/>
            <w:gridSpan w:val="4"/>
            <w:vAlign w:val="center"/>
          </w:tcPr>
          <w:p w14:paraId="2580C9A7" w14:textId="77777777" w:rsidR="00877129" w:rsidRDefault="00ED2533">
            <w:pPr>
              <w:ind w:left="454" w:hanging="454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* – Indicador com apuração cumulativa ao longo do período de credenciamento</w:t>
            </w:r>
          </w:p>
          <w:p w14:paraId="58C4E01C" w14:textId="77777777" w:rsidR="00877129" w:rsidRDefault="00ED2533">
            <w:pPr>
              <w:ind w:left="454" w:hanging="454"/>
              <w:rPr>
                <w:rFonts w:ascii="Cambria" w:eastAsia="Cambria" w:hAnsi="Cambria" w:cs="Cambria"/>
                <w:sz w:val="16"/>
                <w:szCs w:val="16"/>
                <w:vertAlign w:val="superscript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** – Indicador com apuração a partir do primeiro projeto concluíd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o.</w:t>
            </w:r>
          </w:p>
        </w:tc>
      </w:tr>
    </w:tbl>
    <w:p w14:paraId="280DF1D1" w14:textId="77777777" w:rsidR="00877129" w:rsidRDefault="00877129">
      <w:pPr>
        <w:spacing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sectPr w:rsidR="00877129"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B56D" w14:textId="77777777" w:rsidR="00ED2533" w:rsidRDefault="00ED2533">
      <w:pPr>
        <w:spacing w:after="0" w:line="240" w:lineRule="auto"/>
      </w:pPr>
      <w:r>
        <w:separator/>
      </w:r>
    </w:p>
  </w:endnote>
  <w:endnote w:type="continuationSeparator" w:id="0">
    <w:p w14:paraId="33D60784" w14:textId="77777777" w:rsidR="00ED2533" w:rsidRDefault="00ED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1436" w14:textId="77777777" w:rsidR="00877129" w:rsidRDefault="00ED25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1D6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63B91FBA" w14:textId="77777777" w:rsidR="00877129" w:rsidRDefault="008771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7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A3E0" w14:textId="5A7A636C" w:rsidR="00877129" w:rsidRDefault="00ED25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1D66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14:paraId="1F5EC74E" w14:textId="77777777" w:rsidR="00877129" w:rsidRDefault="008771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7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D944" w14:textId="77777777" w:rsidR="00ED2533" w:rsidRDefault="00ED2533">
      <w:pPr>
        <w:spacing w:after="0" w:line="240" w:lineRule="auto"/>
      </w:pPr>
      <w:r>
        <w:separator/>
      </w:r>
    </w:p>
  </w:footnote>
  <w:footnote w:type="continuationSeparator" w:id="0">
    <w:p w14:paraId="32DA67EF" w14:textId="77777777" w:rsidR="00ED2533" w:rsidRDefault="00ED2533">
      <w:pPr>
        <w:spacing w:after="0" w:line="240" w:lineRule="auto"/>
      </w:pPr>
      <w:r>
        <w:continuationSeparator/>
      </w:r>
    </w:p>
  </w:footnote>
  <w:footnote w:id="1">
    <w:p w14:paraId="6BF0C004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Não remover estas instruções após elaborar do Plano de Ação.</w:t>
      </w:r>
    </w:p>
  </w:footnote>
  <w:footnote w:id="2">
    <w:p w14:paraId="0E035430" w14:textId="77777777" w:rsidR="00877129" w:rsidRDefault="00ED2533">
      <w:pPr>
        <w:spacing w:after="0"/>
        <w:jc w:val="both"/>
        <w:rPr>
          <w:rFonts w:ascii="Times New Roman" w:eastAsia="Times New Roman" w:hAnsi="Times New Roman" w:cs="Times New Roman"/>
          <w:i/>
          <w:color w:val="80808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 Não serão consideradas áreas de competência: setores industriais (ex. Petróleo e Gás, TICs, </w:t>
      </w:r>
      <w:proofErr w:type="gramStart"/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Automotivo</w:t>
      </w:r>
      <w:proofErr w:type="gramEnd"/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, etc.), grandes temas (ex. Biotecnologia, Química, Materiais, Energia, etc.) ou políticas (ex. Políticas de C&amp;T).</w:t>
      </w:r>
    </w:p>
  </w:footnote>
  <w:footnote w:id="3">
    <w:p w14:paraId="30C17D4C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 Baseado nas definições EMBRAPII trazidas na chamada.</w:t>
      </w:r>
    </w:p>
  </w:footnote>
  <w:footnote w:id="4">
    <w:p w14:paraId="09F08782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6B8B30DC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 xml:space="preserve"> Vide formulação de contrap</w:t>
      </w:r>
      <w:r>
        <w:rPr>
          <w:rFonts w:ascii="Times New Roman" w:eastAsia="Times New Roman" w:hAnsi="Times New Roman" w:cs="Times New Roman"/>
          <w:color w:val="808080"/>
          <w:sz w:val="16"/>
          <w:szCs w:val="16"/>
        </w:rPr>
        <w:t>artida econômica no Manual de Operação EMBRAPII, disponível em http://embrapii.org.br/manual-das-unidades-embrapii/</w:t>
      </w:r>
    </w:p>
  </w:footnote>
  <w:footnote w:id="6">
    <w:p w14:paraId="55DE4F52" w14:textId="77777777" w:rsidR="00877129" w:rsidRDefault="00ED2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Manter este quadro explicativo na versão submetida do plano de 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A64B" w14:textId="77777777" w:rsidR="00877129" w:rsidRDefault="00ED25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42"/>
        <w:tab w:val="left" w:pos="666"/>
      </w:tabs>
      <w:spacing w:after="0" w:line="240" w:lineRule="auto"/>
      <w:ind w:left="-709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2A77935A" wp14:editId="485CA1E3">
          <wp:extent cx="3655411" cy="774242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272" w14:textId="77777777" w:rsidR="00877129" w:rsidRDefault="00ED25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BB522A" wp14:editId="414BE0C9">
          <wp:simplePos x="0" y="0"/>
          <wp:positionH relativeFrom="column">
            <wp:posOffset>-800099</wp:posOffset>
          </wp:positionH>
          <wp:positionV relativeFrom="paragraph">
            <wp:posOffset>-300989</wp:posOffset>
          </wp:positionV>
          <wp:extent cx="1908313" cy="8661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D35" w14:textId="77777777" w:rsidR="00877129" w:rsidRDefault="00ED25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42"/>
        <w:tab w:val="left" w:pos="666"/>
      </w:tabs>
      <w:spacing w:after="0" w:line="240" w:lineRule="auto"/>
      <w:ind w:left="-709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16FB5C75" wp14:editId="4416BB63">
          <wp:extent cx="3655411" cy="774242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04AE" w14:textId="77777777" w:rsidR="00877129" w:rsidRDefault="00ED25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1F985C" wp14:editId="5224E1A1">
          <wp:simplePos x="0" y="0"/>
          <wp:positionH relativeFrom="column">
            <wp:posOffset>-800099</wp:posOffset>
          </wp:positionH>
          <wp:positionV relativeFrom="paragraph">
            <wp:posOffset>-300989</wp:posOffset>
          </wp:positionV>
          <wp:extent cx="1908313" cy="86614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CC7"/>
    <w:multiLevelType w:val="multilevel"/>
    <w:tmpl w:val="DCB6DBE4"/>
    <w:lvl w:ilvl="0">
      <w:start w:val="1"/>
      <w:numFmt w:val="decimal"/>
      <w:pStyle w:val="Estilo2-PlanodeAo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31388D"/>
    <w:multiLevelType w:val="multilevel"/>
    <w:tmpl w:val="9530D8E8"/>
    <w:lvl w:ilvl="0">
      <w:start w:val="1"/>
      <w:numFmt w:val="bullet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Estilo1-PlanodeAo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647EB6"/>
    <w:multiLevelType w:val="multilevel"/>
    <w:tmpl w:val="CB4232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3333024">
    <w:abstractNumId w:val="0"/>
  </w:num>
  <w:num w:numId="2" w16cid:durableId="842939449">
    <w:abstractNumId w:val="1"/>
  </w:num>
  <w:num w:numId="3" w16cid:durableId="149160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29"/>
    <w:rsid w:val="00877129"/>
    <w:rsid w:val="00AA1D66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911C"/>
  <w15:docId w15:val="{0967F2F5-C006-41F5-B710-37C1D328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21F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brapii.org.br/programas-embrapii/pp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brapii.org.br/rota-203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WFIsv+kVP5lv+bjq63jNkCj+Gg==">AMUW2mVIdP2d2+nTMFyRmPWZOjg5i3viOgbF6pxSfNgWqMg/P8i9/VmCsNOlXpBhW2U265B90BSwCO88ygJ4FI2+w38BJjGoCQYBvmI/WghuoG4UKMJ37u611fSenxpQ9qKRAWzvToiM6+pfBQN2K/4HgsW/LXjRz8lUNSvdo8PHoXHp0RSiCo66qPq98S5JWIksB9ttSkxgH2PvLfb1q99uUNAtNQkHTgWE4olGH8gzw9WmdSaf3I7ogtnHcq5wkMSjU4+7GhZ2v7k9I5933oyA1HJXD4CBkXy1JPkdQ+z0DjJX6nFbwourxX2mqHgp/yJhybjbbO/aT0/CSVeIKgPOXI7U5ERWikjBuyxaN7OeFegWDVTm5Za+jnc0Cgp/gEsjzzm78g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4201</Words>
  <Characters>22689</Characters>
  <Application>Microsoft Office Word</Application>
  <DocSecurity>0</DocSecurity>
  <Lines>189</Lines>
  <Paragraphs>53</Paragraphs>
  <ScaleCrop>false</ScaleCrop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EMBRAPII</dc:creator>
  <cp:lastModifiedBy>Flávia Pereira Balieiro Salgado</cp:lastModifiedBy>
  <cp:revision>2</cp:revision>
  <dcterms:created xsi:type="dcterms:W3CDTF">2022-02-02T19:42:00Z</dcterms:created>
  <dcterms:modified xsi:type="dcterms:W3CDTF">2022-06-30T18:07:00Z</dcterms:modified>
</cp:coreProperties>
</file>