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BC42" w14:textId="26708666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Instituição Proponente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496828AE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da Unidade Candidata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204BDF48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de 2017</w:t>
      </w:r>
    </w:p>
    <w:p w14:paraId="34A780F1" w14:textId="77777777" w:rsidR="00663B4F" w:rsidRDefault="00663B4F" w:rsidP="00663B4F"/>
    <w:p w14:paraId="190A6051" w14:textId="77777777" w:rsidR="00663B4F" w:rsidRDefault="00663B4F" w:rsidP="00663B4F"/>
    <w:p w14:paraId="1415B811" w14:textId="77777777" w:rsidR="00663B4F" w:rsidRDefault="00663B4F" w:rsidP="00663B4F"/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49F2C072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Este arquivo deve ser usado como modelo 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o Plano</w:t>
      </w:r>
      <w:r w:rsidRPr="00346E4B">
        <w:rPr>
          <w:rFonts w:ascii="Times New Roman" w:hAnsi="Times New Roman" w:cs="Times New Roman"/>
          <w:sz w:val="24"/>
          <w:szCs w:val="24"/>
        </w:rPr>
        <w:t xml:space="preserve"> de Ação</w:t>
      </w:r>
      <w:r w:rsidR="00F33F11">
        <w:rPr>
          <w:rFonts w:ascii="Times New Roman" w:hAnsi="Times New Roman" w:cs="Times New Roman"/>
          <w:sz w:val="24"/>
          <w:szCs w:val="24"/>
        </w:rPr>
        <w:t xml:space="preserve"> (PA)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a ser </w:t>
      </w:r>
      <w:r w:rsidR="008461F7" w:rsidRPr="00346E4B">
        <w:rPr>
          <w:rFonts w:ascii="Times New Roman" w:hAnsi="Times New Roman" w:cs="Times New Roman"/>
          <w:sz w:val="24"/>
          <w:szCs w:val="24"/>
        </w:rPr>
        <w:t>submetido</w:t>
      </w:r>
      <w:r w:rsidR="00B67085" w:rsidRPr="00346E4B">
        <w:rPr>
          <w:rFonts w:ascii="Times New Roman" w:hAnsi="Times New Roman" w:cs="Times New Roman"/>
          <w:sz w:val="24"/>
          <w:szCs w:val="24"/>
        </w:rPr>
        <w:t xml:space="preserve"> à Chamada Pública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53B05" w:rsidRPr="00346E4B">
        <w:rPr>
          <w:rFonts w:ascii="Times New Roman" w:hAnsi="Times New Roman" w:cs="Times New Roman"/>
          <w:sz w:val="24"/>
          <w:szCs w:val="24"/>
        </w:rPr>
        <w:t>para</w:t>
      </w:r>
      <w:r w:rsidRPr="00346E4B">
        <w:rPr>
          <w:rFonts w:ascii="Times New Roman" w:hAnsi="Times New Roman" w:cs="Times New Roman"/>
          <w:sz w:val="24"/>
          <w:szCs w:val="24"/>
        </w:rPr>
        <w:t xml:space="preserve"> credenciamento de Unidades EMBRAPII.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0469B" w14:textId="21D7B9D5" w:rsidR="00F33F11" w:rsidRDefault="00D0452C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O Plano de Ação deve ser limitado </w:t>
      </w:r>
      <w:r w:rsidR="00F05653"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346E4B">
        <w:rPr>
          <w:rFonts w:ascii="Times New Roman" w:hAnsi="Times New Roman" w:cs="Times New Roman"/>
          <w:sz w:val="24"/>
          <w:szCs w:val="24"/>
        </w:rPr>
        <w:t xml:space="preserve">a 30 páginas, no formato A4, fonte Times New Roman, </w:t>
      </w:r>
      <w:r w:rsidR="00125588">
        <w:rPr>
          <w:rFonts w:ascii="Times New Roman" w:hAnsi="Times New Roman" w:cs="Times New Roman"/>
          <w:sz w:val="24"/>
          <w:szCs w:val="24"/>
        </w:rPr>
        <w:t xml:space="preserve">letra </w:t>
      </w:r>
      <w:r w:rsidRPr="00346E4B">
        <w:rPr>
          <w:rFonts w:ascii="Times New Roman" w:hAnsi="Times New Roman" w:cs="Times New Roman"/>
          <w:sz w:val="24"/>
          <w:szCs w:val="24"/>
        </w:rPr>
        <w:t>12 e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espaçamento simples</w:t>
      </w:r>
      <w:r w:rsidR="004E29ED" w:rsidRPr="00346E4B">
        <w:rPr>
          <w:rFonts w:ascii="Times New Roman" w:hAnsi="Times New Roman" w:cs="Times New Roman"/>
          <w:sz w:val="24"/>
          <w:szCs w:val="24"/>
        </w:rPr>
        <w:t>, respeitando a formatação prévia do modelo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</w:t>
      </w:r>
      <w:r w:rsidR="004E29ED" w:rsidRPr="00346E4B">
        <w:rPr>
          <w:rFonts w:ascii="Times New Roman" w:hAnsi="Times New Roman" w:cs="Times New Roman"/>
          <w:sz w:val="24"/>
          <w:szCs w:val="24"/>
        </w:rPr>
        <w:t>,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 entregue em extensão .</w:t>
      </w:r>
      <w:proofErr w:type="spellStart"/>
      <w:r w:rsidR="00B47F21" w:rsidRPr="00346E4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47F21" w:rsidRPr="00346E4B">
        <w:rPr>
          <w:rFonts w:ascii="Times New Roman" w:hAnsi="Times New Roman" w:cs="Times New Roman"/>
          <w:sz w:val="24"/>
          <w:szCs w:val="24"/>
        </w:rPr>
        <w:t>.</w:t>
      </w:r>
      <w:r w:rsidR="00512F3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No Plano de Ação as solicitações de informações apresentadas na forma 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B47F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B47F21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B47F21" w:rsidRPr="00346E4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47F21" w:rsidRPr="00346E4B">
        <w:rPr>
          <w:rFonts w:ascii="Times New Roman" w:hAnsi="Times New Roman" w:cs="Times New Roman"/>
          <w:sz w:val="24"/>
          <w:szCs w:val="24"/>
        </w:rPr>
        <w:t xml:space="preserve">devem ser substituídas pela informação pertinente e formatada conforme demais </w:t>
      </w:r>
      <w:proofErr w:type="spellStart"/>
      <w:r w:rsidR="00CD66EF" w:rsidRPr="00346E4B">
        <w:rPr>
          <w:rFonts w:ascii="Times New Roman" w:hAnsi="Times New Roman" w:cs="Times New Roman"/>
          <w:sz w:val="24"/>
          <w:szCs w:val="24"/>
        </w:rPr>
        <w:t>conteúdo</w:t>
      </w:r>
      <w:r w:rsidR="00CD66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47F21" w:rsidRPr="00346E4B">
        <w:rPr>
          <w:rFonts w:ascii="Times New Roman" w:hAnsi="Times New Roman" w:cs="Times New Roman"/>
          <w:sz w:val="24"/>
          <w:szCs w:val="24"/>
        </w:rPr>
        <w:t xml:space="preserve"> deste modelo.</w:t>
      </w:r>
      <w:r w:rsidR="00F33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441B" w14:textId="0711A884" w:rsidR="00F33F11" w:rsidRPr="00346E4B" w:rsidRDefault="00F33F11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Após leitura e entendimento das instruções para elaboração de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Pr="00346E4B">
        <w:rPr>
          <w:rFonts w:ascii="Times New Roman" w:hAnsi="Times New Roman" w:cs="Times New Roman"/>
          <w:sz w:val="24"/>
          <w:szCs w:val="24"/>
        </w:rPr>
        <w:t>tópico</w:t>
      </w:r>
      <w:r>
        <w:rPr>
          <w:rFonts w:ascii="Times New Roman" w:hAnsi="Times New Roman" w:cs="Times New Roman"/>
          <w:sz w:val="24"/>
          <w:szCs w:val="24"/>
        </w:rPr>
        <w:t xml:space="preserve"> do PA</w:t>
      </w:r>
      <w:r w:rsidRPr="00346E4B">
        <w:rPr>
          <w:rFonts w:ascii="Times New Roman" w:hAnsi="Times New Roman" w:cs="Times New Roman"/>
          <w:sz w:val="24"/>
          <w:szCs w:val="24"/>
        </w:rPr>
        <w:t>, remova as referidas instruções.</w:t>
      </w:r>
    </w:p>
    <w:p w14:paraId="2EBA6A09" w14:textId="18335901" w:rsidR="00660A03" w:rsidRDefault="00660A03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e preenchimento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aqui contidas</w:t>
      </w:r>
      <w:r w:rsidR="00B45334">
        <w:rPr>
          <w:rFonts w:ascii="Times New Roman" w:hAnsi="Times New Roman" w:cs="Times New Roman"/>
          <w:sz w:val="24"/>
          <w:szCs w:val="24"/>
        </w:rPr>
        <w:t>, além daquelas estabelecidas na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B67085" w:rsidRPr="00346E4B">
        <w:rPr>
          <w:rFonts w:ascii="Times New Roman" w:hAnsi="Times New Roman" w:cs="Times New Roman"/>
          <w:sz w:val="24"/>
          <w:szCs w:val="24"/>
        </w:rPr>
        <w:t>C</w:t>
      </w:r>
      <w:r w:rsidR="00AC2661" w:rsidRPr="00346E4B">
        <w:rPr>
          <w:rFonts w:ascii="Times New Roman" w:hAnsi="Times New Roman" w:cs="Times New Roman"/>
          <w:sz w:val="24"/>
          <w:szCs w:val="24"/>
        </w:rPr>
        <w:t>hamada</w:t>
      </w:r>
      <w:r w:rsidR="00097959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e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nos </w:t>
      </w:r>
      <w:r w:rsidR="008461F7" w:rsidRPr="00346E4B">
        <w:rPr>
          <w:rFonts w:ascii="Times New Roman" w:hAnsi="Times New Roman" w:cs="Times New Roman"/>
          <w:sz w:val="24"/>
          <w:szCs w:val="24"/>
        </w:rPr>
        <w:t xml:space="preserve">documentos </w:t>
      </w:r>
      <w:r w:rsidRPr="00346E4B">
        <w:rPr>
          <w:rFonts w:ascii="Times New Roman" w:hAnsi="Times New Roman" w:cs="Times New Roman"/>
          <w:sz w:val="24"/>
          <w:szCs w:val="24"/>
        </w:rPr>
        <w:t>referidos no processo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, </w:t>
      </w:r>
      <w:r w:rsidR="00AC2661" w:rsidRPr="00346E4B">
        <w:rPr>
          <w:rFonts w:ascii="Times New Roman" w:hAnsi="Times New Roman" w:cs="Times New Roman"/>
          <w:sz w:val="24"/>
          <w:szCs w:val="24"/>
        </w:rPr>
        <w:t>cuja</w:t>
      </w:r>
      <w:r w:rsidRPr="00346E4B">
        <w:rPr>
          <w:rFonts w:ascii="Times New Roman" w:hAnsi="Times New Roman" w:cs="Times New Roman"/>
          <w:sz w:val="24"/>
          <w:szCs w:val="24"/>
        </w:rPr>
        <w:t xml:space="preserve"> inobservância </w:t>
      </w:r>
      <w:r w:rsidRPr="00346E4B">
        <w:rPr>
          <w:rFonts w:ascii="Times New Roman" w:hAnsi="Times New Roman" w:cs="Times New Roman"/>
          <w:b/>
          <w:sz w:val="24"/>
          <w:szCs w:val="24"/>
        </w:rPr>
        <w:t>implicar</w:t>
      </w:r>
      <w:r w:rsidR="00B67085" w:rsidRPr="00346E4B">
        <w:rPr>
          <w:rFonts w:ascii="Times New Roman" w:hAnsi="Times New Roman" w:cs="Times New Roman"/>
          <w:b/>
          <w:sz w:val="24"/>
          <w:szCs w:val="24"/>
        </w:rPr>
        <w:t>á</w:t>
      </w:r>
      <w:r w:rsidRPr="00346E4B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7A692A" w:rsidRPr="00346E4B">
        <w:rPr>
          <w:rFonts w:ascii="Times New Roman" w:hAnsi="Times New Roman" w:cs="Times New Roman"/>
          <w:b/>
          <w:sz w:val="24"/>
          <w:szCs w:val="24"/>
        </w:rPr>
        <w:t xml:space="preserve"> desqualificação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6952E1" w:rsidRPr="00346E4B">
        <w:rPr>
          <w:rFonts w:ascii="Times New Roman" w:hAnsi="Times New Roman" w:cs="Times New Roman"/>
          <w:sz w:val="24"/>
          <w:szCs w:val="24"/>
        </w:rPr>
        <w:t>da candidata ao pleito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16D02" w14:textId="0FAC894C" w:rsidR="00125588" w:rsidRPr="00125588" w:rsidRDefault="00125588" w:rsidP="00346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O Plano de Ação deverá ser limitado obrigatoriamente a 30 páginas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(contadas a partir da seção 2 - </w:t>
      </w:r>
      <w:r w:rsidR="00CD66EF" w:rsidRPr="00CD66EF">
        <w:rPr>
          <w:rFonts w:ascii="Times New Roman" w:hAnsi="Times New Roman" w:cs="Times New Roman"/>
          <w:b/>
          <w:sz w:val="24"/>
          <w:szCs w:val="24"/>
          <w:u w:val="single"/>
        </w:rPr>
        <w:t>Área de competência proposta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 </w:t>
      </w:r>
      <w:r w:rsidRPr="00125588">
        <w:rPr>
          <w:rFonts w:ascii="Times New Roman" w:hAnsi="Times New Roman" w:cs="Times New Roman"/>
          <w:b/>
          <w:sz w:val="24"/>
          <w:szCs w:val="24"/>
          <w:u w:val="single"/>
        </w:rPr>
        <w:t>propostas que descumprirem essa formatação serão automaticamente desclassificadas.</w:t>
      </w:r>
      <w:r w:rsidR="00CD66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D5C6AC" w14:textId="4DB09449" w:rsidR="0019218B" w:rsidRPr="00346E4B" w:rsidRDefault="007A692A" w:rsidP="00346E4B">
      <w:pPr>
        <w:pStyle w:val="Cabealho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64E1AA7C" w14:textId="77777777" w:rsidR="00CD66EF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CD66EF" w:rsidRPr="00361820">
        <w:rPr>
          <w:rFonts w:ascii="Times New Roman" w:hAnsi="Times New Roman" w:cs="Times New Roman"/>
          <w:noProof/>
        </w:rPr>
        <w:t>1</w:t>
      </w:r>
      <w:r w:rsidR="00CD66EF"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="00CD66EF" w:rsidRPr="00361820">
        <w:rPr>
          <w:rFonts w:ascii="Times New Roman" w:hAnsi="Times New Roman" w:cs="Times New Roman"/>
          <w:noProof/>
        </w:rPr>
        <w:t>Informações cadastrais</w:t>
      </w:r>
      <w:r w:rsidR="00CD66EF">
        <w:rPr>
          <w:noProof/>
        </w:rPr>
        <w:tab/>
      </w:r>
      <w:r w:rsidR="00CD66EF">
        <w:rPr>
          <w:noProof/>
        </w:rPr>
        <w:fldChar w:fldCharType="begin"/>
      </w:r>
      <w:r w:rsidR="00CD66EF">
        <w:rPr>
          <w:noProof/>
        </w:rPr>
        <w:instrText xml:space="preserve"> PAGEREF _Toc462945425 \h </w:instrText>
      </w:r>
      <w:r w:rsidR="00CD66EF">
        <w:rPr>
          <w:noProof/>
        </w:rPr>
      </w:r>
      <w:r w:rsidR="00CD66EF">
        <w:rPr>
          <w:noProof/>
        </w:rPr>
        <w:fldChar w:fldCharType="separate"/>
      </w:r>
      <w:r w:rsidR="00CD66EF">
        <w:rPr>
          <w:noProof/>
        </w:rPr>
        <w:t>v</w:t>
      </w:r>
      <w:r w:rsidR="00CD66EF">
        <w:rPr>
          <w:noProof/>
        </w:rPr>
        <w:fldChar w:fldCharType="end"/>
      </w:r>
    </w:p>
    <w:p w14:paraId="405642A5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Área de competência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47877C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Instituição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258E30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Unidade candidata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CCC816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4.1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Equipe proponente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24EF8C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4.2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Infraestrutura de pesquisa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D06BBEE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4.3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Mecanismos de gestão 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6646CC8" w14:textId="77777777" w:rsidR="00CD66EF" w:rsidRDefault="00CD66EF">
      <w:pPr>
        <w:pStyle w:val="Sumrio2"/>
        <w:tabs>
          <w:tab w:val="left" w:pos="88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61820">
        <w:rPr>
          <w:rFonts w:ascii="Times New Roman" w:hAnsi="Times New Roman" w:cs="Times New Roman"/>
          <w:noProof/>
        </w:rPr>
        <w:t>4.4</w:t>
      </w:r>
      <w:r>
        <w:rPr>
          <w:rFonts w:eastAsiaTheme="minorEastAsia"/>
          <w:b w:val="0"/>
          <w:noProof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Gestão da inovação e propriedade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AE0DE5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Mercado de P,D&amp;I na área proposta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57F0D8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Estratégia de captação de projetos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BF629E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Financiamento da ação EMBRAPII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A36FA33" w14:textId="77777777" w:rsidR="00CD66EF" w:rsidRDefault="00CD66EF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sz w:val="22"/>
          <w:szCs w:val="22"/>
          <w:lang w:eastAsia="pt-BR"/>
        </w:rPr>
      </w:pPr>
      <w:r w:rsidRPr="00361820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sz w:val="22"/>
          <w:szCs w:val="22"/>
          <w:lang w:eastAsia="pt-BR"/>
        </w:rPr>
        <w:tab/>
      </w:r>
      <w:r w:rsidRPr="00361820">
        <w:rPr>
          <w:rFonts w:ascii="Times New Roman" w:hAnsi="Times New Roman" w:cs="Times New Roman"/>
          <w:noProof/>
        </w:rPr>
        <w:t>Resultados esperados com o credenciamento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_Toc462945436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1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346E4B">
      <w:pPr>
        <w:pStyle w:val="Cabealho"/>
        <w:spacing w:before="24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55A99EFF" w14:textId="697E086E" w:rsidR="002D6B67" w:rsidRPr="00346E4B" w:rsidRDefault="00B50030" w:rsidP="00346E4B">
      <w:pPr>
        <w:spacing w:before="1200"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2D6B67" w:rsidRPr="00346E4B">
        <w:rPr>
          <w:rFonts w:ascii="Times New Roman" w:hAnsi="Times New Roman" w:cs="Times New Roman"/>
          <w:sz w:val="24"/>
          <w:szCs w:val="24"/>
        </w:rPr>
        <w:t>egal pelo (</w:t>
      </w:r>
      <w:proofErr w:type="gramStart"/>
      <w:r w:rsidR="002D6B67" w:rsidRPr="00346E4B">
        <w:rPr>
          <w:rFonts w:ascii="Times New Roman" w:hAnsi="Times New Roman" w:cs="Times New Roman"/>
          <w:sz w:val="24"/>
          <w:szCs w:val="24"/>
        </w:rPr>
        <w:t xml:space="preserve">a)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</w:t>
      </w:r>
      <w:proofErr w:type="gramEnd"/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         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2017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declaro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 xml:space="preserve">em nome da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83279D">
        <w:rPr>
          <w:rFonts w:ascii="Times New Roman" w:hAnsi="Times New Roman" w:cs="Times New Roman"/>
          <w:sz w:val="24"/>
          <w:szCs w:val="24"/>
        </w:rPr>
        <w:t xml:space="preserve">Candidata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Plano de Ação, bem como com </w:t>
      </w:r>
      <w:r w:rsidRPr="00346E4B">
        <w:rPr>
          <w:rFonts w:ascii="Times New Roman" w:hAnsi="Times New Roman" w:cs="Times New Roman"/>
          <w:sz w:val="24"/>
          <w:szCs w:val="24"/>
        </w:rPr>
        <w:t>a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s </w:t>
      </w:r>
      <w:r w:rsidR="00C67C02" w:rsidRPr="00346E4B">
        <w:rPr>
          <w:rFonts w:ascii="Times New Roman" w:hAnsi="Times New Roman" w:cs="Times New Roman"/>
          <w:sz w:val="24"/>
          <w:szCs w:val="24"/>
        </w:rPr>
        <w:t>regras do M</w:t>
      </w:r>
      <w:r w:rsidR="001F061B" w:rsidRPr="00346E4B">
        <w:rPr>
          <w:rFonts w:ascii="Times New Roman" w:hAnsi="Times New Roman" w:cs="Times New Roman"/>
          <w:sz w:val="24"/>
          <w:szCs w:val="24"/>
        </w:rPr>
        <w:t xml:space="preserve">anual de </w:t>
      </w:r>
      <w:r w:rsidR="00C67C02" w:rsidRPr="00346E4B">
        <w:rPr>
          <w:rFonts w:ascii="Times New Roman" w:hAnsi="Times New Roman" w:cs="Times New Roman"/>
          <w:sz w:val="24"/>
          <w:szCs w:val="24"/>
        </w:rPr>
        <w:t>O</w:t>
      </w:r>
      <w:r w:rsidR="001F061B" w:rsidRPr="00346E4B">
        <w:rPr>
          <w:rFonts w:ascii="Times New Roman" w:hAnsi="Times New Roman" w:cs="Times New Roman"/>
          <w:sz w:val="24"/>
          <w:szCs w:val="24"/>
        </w:rPr>
        <w:t>peração da EMBRAPII</w:t>
      </w:r>
      <w:r w:rsidR="0083279D">
        <w:rPr>
          <w:rFonts w:ascii="Times New Roman" w:hAnsi="Times New Roman" w:cs="Times New Roman"/>
          <w:sz w:val="24"/>
          <w:szCs w:val="24"/>
        </w:rPr>
        <w:t xml:space="preserve"> versão 5.0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 e </w:t>
      </w:r>
      <w:r w:rsidR="0083279D">
        <w:rPr>
          <w:rFonts w:ascii="Times New Roman" w:hAnsi="Times New Roman" w:cs="Times New Roman"/>
          <w:sz w:val="24"/>
          <w:szCs w:val="24"/>
        </w:rPr>
        <w:t xml:space="preserve">com as </w:t>
      </w:r>
      <w:r w:rsidR="00C67C02" w:rsidRPr="00346E4B">
        <w:rPr>
          <w:rFonts w:ascii="Times New Roman" w:hAnsi="Times New Roman" w:cs="Times New Roman"/>
          <w:sz w:val="24"/>
          <w:szCs w:val="24"/>
        </w:rPr>
        <w:t xml:space="preserve">condições descritas no documento da Chamada Pública </w:t>
      </w:r>
      <w:r w:rsidR="0083279D">
        <w:rPr>
          <w:rFonts w:ascii="Times New Roman" w:hAnsi="Times New Roman" w:cs="Times New Roman"/>
          <w:sz w:val="24"/>
          <w:szCs w:val="24"/>
        </w:rPr>
        <w:t xml:space="preserve">EMBRAPII </w:t>
      </w:r>
      <w:r w:rsidR="002F5FD2">
        <w:rPr>
          <w:rFonts w:ascii="Times New Roman" w:hAnsi="Times New Roman" w:cs="Times New Roman"/>
          <w:sz w:val="24"/>
          <w:szCs w:val="24"/>
        </w:rPr>
        <w:t>02</w:t>
      </w:r>
      <w:r w:rsidR="00E34537">
        <w:rPr>
          <w:rFonts w:ascii="Times New Roman" w:hAnsi="Times New Roman" w:cs="Times New Roman"/>
          <w:sz w:val="24"/>
          <w:szCs w:val="24"/>
        </w:rPr>
        <w:t>/2017</w:t>
      </w:r>
      <w:r w:rsidR="002D6B67" w:rsidRPr="00346E4B"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6F4F29F3" w14:textId="77777777" w:rsidR="002D6B67" w:rsidRPr="00346E4B" w:rsidRDefault="002D6B67" w:rsidP="00346E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3FF67558" w:rsidR="00484A22" w:rsidRDefault="00C525EB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Ref336157193"/>
      <w:bookmarkStart w:id="3" w:name="_Toc46294542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Informações cadastrais</w:t>
      </w:r>
      <w:bookmarkEnd w:id="2"/>
      <w:bookmarkEnd w:id="3"/>
    </w:p>
    <w:p w14:paraId="6D008A6E" w14:textId="77777777" w:rsidR="009904AB" w:rsidRPr="00F90ED2" w:rsidRDefault="009904AB" w:rsidP="00F90ED2"/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4657"/>
        <w:gridCol w:w="4640"/>
      </w:tblGrid>
      <w:tr w:rsidR="00C525EB" w:rsidRPr="00346E4B" w14:paraId="0DAA4CC5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1AEA0D47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200C29BF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&lt;Instituição&gt;</w:t>
            </w:r>
          </w:p>
        </w:tc>
      </w:tr>
      <w:tr w:rsidR="00C525EB" w:rsidRPr="00346E4B" w14:paraId="1577637E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594FE6E0" w14:textId="77777777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6958F9E3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&lt;CNPJ com pontuação e separadores&gt;</w:t>
            </w:r>
          </w:p>
        </w:tc>
      </w:tr>
      <w:tr w:rsidR="00C525EB" w:rsidRPr="00346E4B" w14:paraId="144477ED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0308D13" w14:textId="2CBD0418" w:rsidR="00C525EB" w:rsidRPr="00F90ED2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Denominação da </w:t>
            </w:r>
            <w:r w:rsidR="00110282" w:rsidRPr="00F90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Unidade candidata</w:t>
            </w:r>
          </w:p>
        </w:tc>
        <w:tc>
          <w:tcPr>
            <w:tcW w:w="4640" w:type="dxa"/>
            <w:vAlign w:val="center"/>
          </w:tcPr>
          <w:p w14:paraId="01A0E381" w14:textId="77777777" w:rsidR="00C525EB" w:rsidRPr="00F90ED2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F90ED2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&lt;Unidade Candidata&gt;</w:t>
            </w:r>
          </w:p>
        </w:tc>
      </w:tr>
      <w:tr w:rsidR="00C525EB" w:rsidRPr="00346E4B" w14:paraId="02EAE861" w14:textId="77777777" w:rsidTr="00F90ED2">
        <w:trPr>
          <w:cantSplit/>
          <w:jc w:val="center"/>
        </w:trPr>
        <w:tc>
          <w:tcPr>
            <w:tcW w:w="4657" w:type="dxa"/>
            <w:vAlign w:val="center"/>
          </w:tcPr>
          <w:p w14:paraId="21B96B15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Denominação da instituição gestora (financeira)</w:t>
            </w:r>
          </w:p>
        </w:tc>
        <w:tc>
          <w:tcPr>
            <w:tcW w:w="4640" w:type="dxa"/>
            <w:vAlign w:val="center"/>
          </w:tcPr>
          <w:p w14:paraId="614DDB82" w14:textId="43F45BCA" w:rsidR="00C525EB" w:rsidRPr="009904AB" w:rsidRDefault="00110282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&lt;Intuição </w:t>
            </w:r>
            <w:r w:rsidR="00C525EB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Gestora financeira – caso exista&gt;</w:t>
            </w:r>
          </w:p>
        </w:tc>
      </w:tr>
    </w:tbl>
    <w:p w14:paraId="08E17A74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2669"/>
        <w:gridCol w:w="6628"/>
      </w:tblGrid>
      <w:tr w:rsidR="008A370D" w:rsidRPr="00346E4B" w14:paraId="62D01E45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407832DA" w14:textId="788F8B60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Á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rea de competência</w:t>
            </w:r>
          </w:p>
        </w:tc>
        <w:tc>
          <w:tcPr>
            <w:tcW w:w="6628" w:type="dxa"/>
            <w:vAlign w:val="center"/>
          </w:tcPr>
          <w:p w14:paraId="5E439C4D" w14:textId="47A702EF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da área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159081CD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5263746" w14:textId="5C9A847E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1</w:t>
            </w:r>
          </w:p>
        </w:tc>
        <w:tc>
          <w:tcPr>
            <w:tcW w:w="6628" w:type="dxa"/>
            <w:vAlign w:val="center"/>
          </w:tcPr>
          <w:p w14:paraId="06235C17" w14:textId="6D286C61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1</w:t>
            </w:r>
            <w:r w:rsidR="009746F2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20B2715F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63D045BA" w14:textId="6F78141C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2</w:t>
            </w:r>
          </w:p>
        </w:tc>
        <w:tc>
          <w:tcPr>
            <w:tcW w:w="6628" w:type="dxa"/>
            <w:vAlign w:val="center"/>
          </w:tcPr>
          <w:p w14:paraId="480FC983" w14:textId="42D2B21C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2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  <w:tr w:rsidR="008A370D" w:rsidRPr="00346E4B" w14:paraId="59BEB4FE" w14:textId="77777777" w:rsidTr="009904AB">
        <w:trPr>
          <w:cantSplit/>
          <w:jc w:val="center"/>
        </w:trPr>
        <w:tc>
          <w:tcPr>
            <w:tcW w:w="2669" w:type="dxa"/>
            <w:vAlign w:val="center"/>
          </w:tcPr>
          <w:p w14:paraId="78B407A0" w14:textId="15A6F47D" w:rsidR="008A370D" w:rsidRPr="009904AB" w:rsidRDefault="000B24A5" w:rsidP="00AD631C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S</w:t>
            </w:r>
            <w:r w:rsidR="008A370D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</w:rPr>
              <w:t>ublinha 3</w:t>
            </w:r>
          </w:p>
        </w:tc>
        <w:tc>
          <w:tcPr>
            <w:tcW w:w="6628" w:type="dxa"/>
            <w:vAlign w:val="center"/>
          </w:tcPr>
          <w:p w14:paraId="2D957538" w14:textId="2807B32A" w:rsidR="008A370D" w:rsidRPr="009904AB" w:rsidRDefault="008A370D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&lt;Título sublinha 3</w:t>
            </w:r>
            <w:r w:rsidR="00AE1C03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&gt;</w:t>
            </w:r>
          </w:p>
        </w:tc>
      </w:tr>
    </w:tbl>
    <w:p w14:paraId="5D29943D" w14:textId="77777777" w:rsidR="008A370D" w:rsidRPr="009904AB" w:rsidRDefault="008A370D" w:rsidP="00AD631C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3237"/>
        <w:gridCol w:w="2556"/>
        <w:gridCol w:w="3504"/>
      </w:tblGrid>
      <w:tr w:rsidR="00C525EB" w:rsidRPr="00346E4B" w14:paraId="68B3FBAE" w14:textId="77777777" w:rsidTr="009904AB">
        <w:trPr>
          <w:cantSplit/>
          <w:jc w:val="center"/>
        </w:trPr>
        <w:tc>
          <w:tcPr>
            <w:tcW w:w="3237" w:type="dxa"/>
            <w:vAlign w:val="center"/>
          </w:tcPr>
          <w:p w14:paraId="4D2363DF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Código da Proposta EMBRAPII</w:t>
            </w:r>
          </w:p>
        </w:tc>
        <w:tc>
          <w:tcPr>
            <w:tcW w:w="6060" w:type="dxa"/>
            <w:gridSpan w:val="2"/>
            <w:vAlign w:val="center"/>
          </w:tcPr>
          <w:p w14:paraId="61BB4787" w14:textId="1530AA9B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 xml:space="preserve">&lt;Código recebido após </w:t>
            </w:r>
            <w:r w:rsidR="00DF4CEC"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Carta de Manifestação de I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Cs w:val="24"/>
              </w:rPr>
              <w:t>nteresse&gt;</w:t>
            </w:r>
          </w:p>
        </w:tc>
      </w:tr>
      <w:tr w:rsidR="00C525EB" w:rsidRPr="00346E4B" w14:paraId="329A221B" w14:textId="77777777" w:rsidTr="009904AB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5BCB22C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1B02A4C2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Pública</w:t>
            </w:r>
          </w:p>
        </w:tc>
        <w:tc>
          <w:tcPr>
            <w:tcW w:w="3504" w:type="dxa"/>
            <w:vAlign w:val="center"/>
          </w:tcPr>
          <w:p w14:paraId="4F77663D" w14:textId="77777777" w:rsidR="00C525EB" w:rsidRPr="00AD631C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D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Privada sem fins lucrativos</w:t>
            </w:r>
          </w:p>
        </w:tc>
      </w:tr>
    </w:tbl>
    <w:p w14:paraId="5E1B2785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5D7FE36A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2C7FE9E" w14:textId="77777777" w:rsidR="00C525EB" w:rsidRPr="00346E4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E4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C525EB" w:rsidRPr="00346E4B" w14:paraId="09576DBA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0E44488E" w14:textId="2F047DCA" w:rsidR="00C525EB" w:rsidRPr="0083279D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6CA02A67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5787A1C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937E3D0" w14:textId="77777777" w:rsidTr="0083279D">
        <w:trPr>
          <w:cantSplit/>
          <w:jc w:val="center"/>
        </w:trPr>
        <w:tc>
          <w:tcPr>
            <w:tcW w:w="1555" w:type="dxa"/>
            <w:vAlign w:val="center"/>
          </w:tcPr>
          <w:p w14:paraId="7A191EC8" w14:textId="77777777" w:rsidR="00C525EB" w:rsidRPr="0083279D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0BED0EC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</w:t>
            </w:r>
            <w:proofErr w:type="gramStart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complemento</w:t>
            </w:r>
            <w:proofErr w:type="gramEnd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 xml:space="preserve">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2361C7BA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2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53C299F3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702B9A12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C525EB" w:rsidRPr="00346E4B" w14:paraId="3A560987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6B98F164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65717BAB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4DA23027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21E2A9F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9C24C34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11B84BE0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66437CF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461D9FC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7986F7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3DF243BA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C525EB" w:rsidRPr="00346E4B" w14:paraId="0058FA54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121D126F" w14:textId="36E17FFF" w:rsidR="00C525EB" w:rsidRPr="009904AB" w:rsidRDefault="00FF126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Dados da Unidade C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andidata - onde estará instalada a Unidade EMBRAPII</w:t>
            </w:r>
          </w:p>
        </w:tc>
      </w:tr>
      <w:tr w:rsidR="00C525EB" w:rsidRPr="00346E4B" w14:paraId="6FA317B9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70881F5C" w14:textId="3443F009" w:rsidR="00C525EB" w:rsidRPr="009904AB" w:rsidRDefault="00110282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20" w:type="dxa"/>
            <w:gridSpan w:val="2"/>
            <w:vAlign w:val="center"/>
          </w:tcPr>
          <w:p w14:paraId="31280B21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683FB8D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346E4B" w14:paraId="77DE1B9D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5ED20B91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3B12A127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</w:t>
            </w:r>
            <w:proofErr w:type="gramStart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complemento</w:t>
            </w:r>
            <w:proofErr w:type="gramEnd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 xml:space="preserve">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54BD2916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CEP: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346E4B" w14:paraId="1CB1F6C6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1ED64216" w14:textId="22C28A7A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Responsável 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Unidade 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</w:t>
            </w:r>
            <w:r w:rsidR="00A82AE8"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andidata</w:t>
            </w:r>
          </w:p>
        </w:tc>
      </w:tr>
      <w:tr w:rsidR="00C525EB" w:rsidRPr="00346E4B" w14:paraId="68C90A5B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7254C6EB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3960200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37B993B8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6564D840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4086ADC2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39F2F9C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0CF2326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responsável legal]</w:t>
            </w:r>
          </w:p>
        </w:tc>
        <w:tc>
          <w:tcPr>
            <w:tcW w:w="1985" w:type="dxa"/>
            <w:vAlign w:val="center"/>
          </w:tcPr>
          <w:p w14:paraId="4283DB1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5778634F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&lt;E-mail / Tel. resp. Legal&gt;</w:t>
            </w:r>
          </w:p>
        </w:tc>
      </w:tr>
    </w:tbl>
    <w:p w14:paraId="09C4C013" w14:textId="77777777" w:rsidR="00C525EB" w:rsidRPr="009904AB" w:rsidRDefault="00C525EB" w:rsidP="00AD631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acomgrade"/>
        <w:tblW w:w="9297" w:type="dxa"/>
        <w:jc w:val="center"/>
        <w:tblLayout w:type="fixed"/>
        <w:tblLook w:val="0480" w:firstRow="0" w:lastRow="0" w:firstColumn="1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C525EB" w:rsidRPr="009904AB" w14:paraId="6C2E521F" w14:textId="77777777" w:rsidTr="00C26B0B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5C094F26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Dados da Gestora </w:t>
            </w:r>
            <w:proofErr w:type="gramStart"/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Financeira  -</w:t>
            </w:r>
            <w:proofErr w:type="gramEnd"/>
            <w:r w:rsidRPr="009904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se pertinente</w:t>
            </w:r>
          </w:p>
        </w:tc>
      </w:tr>
      <w:tr w:rsidR="00C525EB" w:rsidRPr="009904AB" w14:paraId="4451662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48116FFD" w14:textId="5BEFE842" w:rsidR="00C525EB" w:rsidRPr="009904AB" w:rsidRDefault="00110282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Endereço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, N</w:t>
            </w:r>
            <w:r w:rsidR="00DA7428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º</w:t>
            </w:r>
            <w:r w:rsidR="00C525EB"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2"/>
            <w:vAlign w:val="center"/>
          </w:tcPr>
          <w:p w14:paraId="6002192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4B8B9148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color w:val="000000"/>
              </w:rPr>
              <w:t>Cidade - UF:</w:t>
            </w: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&lt;Cidade – UF&gt;</w:t>
            </w:r>
          </w:p>
        </w:tc>
      </w:tr>
      <w:tr w:rsidR="00C525EB" w:rsidRPr="009904AB" w14:paraId="72DB5CF0" w14:textId="77777777" w:rsidTr="00F33F11">
        <w:trPr>
          <w:cantSplit/>
          <w:jc w:val="center"/>
        </w:trPr>
        <w:tc>
          <w:tcPr>
            <w:tcW w:w="1555" w:type="dxa"/>
            <w:vAlign w:val="center"/>
          </w:tcPr>
          <w:p w14:paraId="01C7B3D8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654B0D41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</w:t>
            </w:r>
            <w:proofErr w:type="gramStart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complemento</w:t>
            </w:r>
            <w:proofErr w:type="gramEnd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 xml:space="preserve">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B4861C4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CEP:                        </w:t>
            </w: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</w:rPr>
              <w:t>&lt;CEP&gt;</w:t>
            </w:r>
          </w:p>
        </w:tc>
      </w:tr>
      <w:tr w:rsidR="00C525EB" w:rsidRPr="009904AB" w14:paraId="055AC938" w14:textId="77777777" w:rsidTr="00C26B0B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648960FD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C525EB" w:rsidRPr="009904AB" w14:paraId="56C13AF9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6E60DC3" w14:textId="77777777" w:rsidR="00C525EB" w:rsidRPr="009904AB" w:rsidRDefault="00C525EB" w:rsidP="00AD631C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42AAAFF5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292D13BC" w14:textId="77777777" w:rsidR="00C525EB" w:rsidRPr="009904AB" w:rsidRDefault="00C525EB" w:rsidP="00484A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415AE2F2" w14:textId="77777777" w:rsidR="00C525EB" w:rsidRPr="009904AB" w:rsidRDefault="00C525EB" w:rsidP="009904A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 / Tel.</w:t>
            </w:r>
          </w:p>
        </w:tc>
      </w:tr>
      <w:tr w:rsidR="00C525EB" w:rsidRPr="009904AB" w14:paraId="228C6B88" w14:textId="77777777" w:rsidTr="00C26B0B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4E005339" w14:textId="77777777" w:rsidR="00C525EB" w:rsidRPr="009904AB" w:rsidRDefault="00C525EB" w:rsidP="00AD631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&lt;Nome do coordenador&gt;</w:t>
            </w:r>
          </w:p>
        </w:tc>
        <w:tc>
          <w:tcPr>
            <w:tcW w:w="2268" w:type="dxa"/>
            <w:vAlign w:val="center"/>
          </w:tcPr>
          <w:p w14:paraId="7D8599B4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&lt;CPF do coordenador&gt;</w:t>
            </w:r>
          </w:p>
        </w:tc>
        <w:tc>
          <w:tcPr>
            <w:tcW w:w="2127" w:type="dxa"/>
            <w:vAlign w:val="center"/>
          </w:tcPr>
          <w:p w14:paraId="09669318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3F25A735" w14:textId="77777777" w:rsidR="00C525EB" w:rsidRPr="009904AB" w:rsidRDefault="00C525EB" w:rsidP="00484A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</w:pPr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 xml:space="preserve">&lt;E-mail / </w:t>
            </w:r>
            <w:proofErr w:type="spellStart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Tel.coordenador</w:t>
            </w:r>
            <w:proofErr w:type="spellEnd"/>
            <w:r w:rsidRPr="009904AB">
              <w:rPr>
                <w:rFonts w:ascii="Times New Roman" w:eastAsia="Times New Roman" w:hAnsi="Times New Roman" w:cs="Times New Roman"/>
                <w:bCs/>
                <w:i/>
                <w:color w:val="808080" w:themeColor="background1" w:themeShade="80"/>
                <w:sz w:val="16"/>
              </w:rPr>
              <w:t>&gt;</w:t>
            </w:r>
          </w:p>
        </w:tc>
      </w:tr>
    </w:tbl>
    <w:p w14:paraId="0005FAA1" w14:textId="77777777" w:rsidR="00C525EB" w:rsidRPr="00346E4B" w:rsidRDefault="00C525EB" w:rsidP="00346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EF3E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E01616" w14:textId="77777777" w:rsidR="00C525EB" w:rsidRPr="00346E4B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10F9A8" w14:textId="77777777" w:rsidR="008A370D" w:rsidRPr="00346E4B" w:rsidRDefault="008A370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8A370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bookmarkStart w:id="4" w:name="_Toc427142045"/>
      <w:bookmarkStart w:id="5" w:name="_Toc427142046"/>
      <w:bookmarkStart w:id="6" w:name="_Toc427072198"/>
      <w:bookmarkStart w:id="7" w:name="_Toc427153831"/>
      <w:bookmarkEnd w:id="4"/>
      <w:bookmarkEnd w:id="5"/>
    </w:p>
    <w:p w14:paraId="7E3E8285" w14:textId="35727168" w:rsidR="00396BE5" w:rsidRPr="00346E4B" w:rsidRDefault="00396BE5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62945426"/>
      <w:bookmarkStart w:id="9" w:name="_Ref336163331"/>
      <w:bookmarkStart w:id="10" w:name="_Ref33616334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Área de competência proposta</w:t>
      </w:r>
      <w:bookmarkEnd w:id="8"/>
    </w:p>
    <w:p w14:paraId="3F22260C" w14:textId="77777777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1C1A6C69" w14:textId="04EA4A91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definição de área de competência trazida pela Chamada</w:t>
      </w:r>
      <w:r w:rsidR="0009795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detalhar os aspectos solicitados a seguir&gt;</w:t>
      </w:r>
    </w:p>
    <w:p w14:paraId="3C6DEC17" w14:textId="431AC8D9" w:rsidR="00F90ED2" w:rsidRPr="00346E4B" w:rsidRDefault="00396BE5" w:rsidP="000C4C8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 sobre a área de competência</w:t>
      </w:r>
      <w:r w:rsidR="00631251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2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 no credenciamento, descrevendo-a brevemente e apresentando explicitamente o seu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título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as suas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– focalize esta descrição considerando a competência em </w:t>
      </w: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a ser ofertada pela Unidade 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Candidata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ao mercado (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 conforme Manual de Operação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), porém não a sua importância para este mercado. Estabeleça um paralelo entre a área de competência proposta e suas sublinhas com o h</w:t>
      </w:r>
      <w:r w:rsidR="00FF12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na área, considerando as tendências em </w:t>
      </w: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&amp;I, demonstrando que a experiência em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apresentada na planilha Excel subsidia a área de competência pleiteada no credenciamento.&gt;</w:t>
      </w:r>
    </w:p>
    <w:p w14:paraId="4DFD01E5" w14:textId="77777777" w:rsidR="00396BE5" w:rsidRPr="00346E4B" w:rsidRDefault="00396BE5" w:rsidP="00750888">
      <w:pPr>
        <w:spacing w:line="240" w:lineRule="auto"/>
        <w:ind w:firstLine="360"/>
        <w:jc w:val="both"/>
      </w:pPr>
    </w:p>
    <w:p w14:paraId="4C35B1C3" w14:textId="2ECD30EA" w:rsidR="007A749E" w:rsidRPr="00346E4B" w:rsidRDefault="007A749E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462945427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Instituição proponente</w:t>
      </w:r>
      <w:bookmarkEnd w:id="9"/>
      <w:bookmarkEnd w:id="10"/>
      <w:bookmarkEnd w:id="11"/>
    </w:p>
    <w:p w14:paraId="50F7C8BB" w14:textId="423188E5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0F6708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4F5297" w14:textId="1F09B365" w:rsidR="002166A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&lt;Descrever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 tipos de atividades desenvolvidas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Instituição 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e sua prioridade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institucional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atuação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Descrever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que medida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criação de uma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Unidade EMBRAPII na Instituição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proponente se enquadra no seu papel 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nstitucional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na sua estratégia de ação de médio e longo prazos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voltada para o desenvolvimento de </w:t>
      </w:r>
      <w:proofErr w:type="gramStart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8F030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 demanda de </w:t>
      </w:r>
      <w:r w:rsidR="0008397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empresas industriais.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AEFB3E2" w14:textId="017328FA" w:rsidR="00A655E7" w:rsidRPr="00346E4B" w:rsidRDefault="00A655E7" w:rsidP="00346E4B">
      <w:pPr>
        <w:spacing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2" w:name="_Ref336116090"/>
    </w:p>
    <w:p w14:paraId="6AB34775" w14:textId="53400AEB" w:rsidR="002C484F" w:rsidRPr="00346E4B" w:rsidRDefault="000362A4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462945428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Unidade candidata</w:t>
      </w:r>
      <w:r w:rsidR="002C484F" w:rsidRPr="00346E4B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footnoteReference w:id="3"/>
      </w:r>
      <w:bookmarkEnd w:id="6"/>
      <w:bookmarkEnd w:id="7"/>
      <w:bookmarkEnd w:id="12"/>
      <w:bookmarkEnd w:id="13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09F2BC" w14:textId="0D1BB898" w:rsidR="00B50030" w:rsidRPr="00346E4B" w:rsidRDefault="00B5003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4" w:name="_Toc427153832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 – texto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1347B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páginas&gt;</w:t>
      </w:r>
    </w:p>
    <w:p w14:paraId="3ED668CB" w14:textId="2B3B4FEE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&lt;Vide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definição de Unidade EMBRAPII na Chamada para detalhar os aspectos solicitados a seguir&gt;</w:t>
      </w:r>
    </w:p>
    <w:p w14:paraId="700C1902" w14:textId="19A02614" w:rsidR="00B53341" w:rsidRPr="00346E4B" w:rsidRDefault="00B5334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&lt;Caract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erize a experiência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no desenvolvimento de projetos de Pesquisa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Desenvolvimento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&amp; Inovação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</w:t>
      </w: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proofErr w:type="gramEnd"/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95555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competência proposta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empresas do setor industrial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destacando o impacto dos projetos listados na Planilha Excel para os destinatários das inovações neles geradas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incluindo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dos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principais produtos, processos ou tecnologias desenvolvidas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brevemente sobre estes aspectos considerando até três (3) projetos listados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planilha Excel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selecione os principais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fundamentam a experiência em </w:t>
      </w:r>
      <w:proofErr w:type="gramStart"/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</w:t>
      </w:r>
      <w:r w:rsidR="004853D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Unidade C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85502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49AAD302" w14:textId="0C6B92B4" w:rsidR="003576B2" w:rsidRPr="00346E4B" w:rsidRDefault="0085502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&lt;Discorra </w:t>
      </w:r>
      <w:r w:rsidR="00133A9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brevemente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histórico de desenvolvimento de </w:t>
      </w:r>
      <w:proofErr w:type="gramStart"/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empresas pela Unidade </w:t>
      </w:r>
      <w:r w:rsidR="005B2E9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na área de competência pleiteada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o volume de recursos captado n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período especificado nesta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hama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as estratégias eventualmente usada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combinação de fontes de financiamento (ex. agências de fomento, orçamento próprio, fontes internacionais, receitas diretas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vendid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29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9439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licenciamento de tecnologias, receitas de serviç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correntes, </w:t>
      </w:r>
      <w:r w:rsidR="00F33F1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royalties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etc.). Apresente brevemente os principais resultados alcançados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form</w:t>
      </w:r>
      <w:r w:rsidR="003452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B5334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pedidos de patentes, registro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de softwares, novos produtos ou processos, ou quaisquer </w:t>
      </w:r>
      <w:r w:rsidR="009C1AD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</w:t>
      </w:r>
      <w:r w:rsidR="00925B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formas de proteção de resultados de </w:t>
      </w:r>
      <w:proofErr w:type="gramStart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usados pela Unidade </w:t>
      </w:r>
      <w:r w:rsidR="005B2E9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783A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andidata&gt;</w:t>
      </w:r>
    </w:p>
    <w:p w14:paraId="3A0BCA9B" w14:textId="609F96BB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462945429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Equipe proponente</w:t>
      </w:r>
      <w:bookmarkEnd w:id="15"/>
    </w:p>
    <w:p w14:paraId="7AFB4EDF" w14:textId="77777777" w:rsidR="002166AE" w:rsidRPr="00346E4B" w:rsidRDefault="002166AE" w:rsidP="00346E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0A680" w14:textId="50F5DC94" w:rsidR="00294B2D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2363C6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468F73E7" w14:textId="1E9CFAEE" w:rsidR="002363C6" w:rsidRPr="00346E4B" w:rsidRDefault="00294B2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Considerando</w:t>
      </w:r>
      <w:proofErr w:type="gramEnd"/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a equipe é apresentada na planilha Excel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é parte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documentação obrigatória ao credenciamento, aqui ela não deve ser listada. A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tabela do Excel será transcrita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este tópico 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mediante orientações da EMBRAPII sobre eventuais aju</w:t>
      </w:r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stes na informação </w:t>
      </w:r>
      <w:proofErr w:type="gramStart"/>
      <w:r w:rsidR="002363C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apresentada.&gt;</w:t>
      </w:r>
      <w:proofErr w:type="gramEnd"/>
    </w:p>
    <w:p w14:paraId="287D93B6" w14:textId="2B3EC477" w:rsidR="002363C6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</w:t>
      </w:r>
      <w:proofErr w:type="gramEnd"/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tópico,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presente inicialmente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súmula curri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cular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até seis (6) principais membros da equipe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cuja formação e experiência sustentam a área de competência na qual se pleiteia o credenciamento e as sublinhas de atuação propostas neste Plano de Ação. Considerando o objetivo primeiro da Unidade EMBRAPII de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produzir </w:t>
      </w:r>
      <w:proofErr w:type="gramStart"/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empresas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industrias demandantes de inovaç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ões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destaque nas súmulas curriculares 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especialidade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da formação, 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experiência</w:t>
      </w:r>
      <w:r w:rsidR="002B5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o desenvolvimento de </w:t>
      </w:r>
      <w:r w:rsidR="00E1181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empresas industriais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liderança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cada um dos 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</w:t>
      </w:r>
      <w:r w:rsidR="00F30E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membros sobre a equipe da Unidade </w:t>
      </w:r>
      <w:r w:rsidR="00FC34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Outros detalhes dos currículos (produção acadêmica, histórico profissional, etc.) serão 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recuperados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processo de credenciamento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pela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quando necessário, usando o link do currículo completo apresentado na planilha Excel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portanto, não devem ser aqui inseridos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6D53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Cada súmula curricular está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limitada a 130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palavras</w:t>
      </w:r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– tamanho deste </w:t>
      </w:r>
      <w:proofErr w:type="gramStart"/>
      <w:r w:rsidR="00E345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parágrafo</w:t>
      </w:r>
      <w:r w:rsidR="000D3EF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proofErr w:type="gramEnd"/>
    </w:p>
    <w:p w14:paraId="65666B7C" w14:textId="46A67D1A" w:rsidR="003576B2" w:rsidRPr="00346E4B" w:rsidRDefault="002363C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&lt;Além do acima solicitado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brevemente sobre a estratégia (ex. Plano de médio e longo prazo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instrumentos normativos, fontes de recursos, priorização de 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ações para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áreas foco, etc.) para manter, aprimorar e eventualmente a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umentar a capacitação da equipe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 de credenciamento proposta, delineand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assim a estratégia de gestão para a manutenção do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quadro</w:t>
      </w:r>
      <w:r w:rsidR="00294D6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de pessoal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próprio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garant</w:t>
      </w:r>
      <w:r w:rsidR="00366B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Unidade</w:t>
      </w:r>
      <w:r w:rsidR="00BF73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gramStart"/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andidata.</w:t>
      </w:r>
      <w:r w:rsidR="0069533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proofErr w:type="gramEnd"/>
    </w:p>
    <w:p w14:paraId="25364EF0" w14:textId="5299BAE9" w:rsidR="003576B2" w:rsidRPr="00346E4B" w:rsidRDefault="003576B2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462945430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Infraestrutura de pesquisa</w:t>
      </w:r>
      <w:bookmarkEnd w:id="16"/>
    </w:p>
    <w:p w14:paraId="772F1D35" w14:textId="031BFDE0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6580701D" w14:textId="7C1A3997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a infraestrutura é apresentada na planilha Excel que acompanha a documentação obrigatória ao credenciamento, aqui ela não deve ser listada. Se necessário, esclarecimentos sobre este item serão solicitados à Unidade 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EMBRAPII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momentos oportunos do processo de </w:t>
      </w: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credenciamento.&gt;</w:t>
      </w:r>
      <w:proofErr w:type="gramEnd"/>
    </w:p>
    <w:p w14:paraId="3559C807" w14:textId="53F75D79" w:rsidR="00F65A44" w:rsidRPr="00346E4B" w:rsidRDefault="00F65A4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 Considerando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ainda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oferta e a disponibilidade de infraestrutura é requisito para credenciamento, discorra brevemente sobre o diferencial da infraestrutura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apresentada para subsidiar o desenvolvimento de </w:t>
      </w:r>
      <w:proofErr w:type="gramStart"/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para empresas industriais na área de competência proposta para credenciamento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Destaque, por exemplo, a atualidade da infraestrutura, seu diferencial científico e/ou tecnológico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capacidade de produção de </w:t>
      </w:r>
      <w:proofErr w:type="gramStart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A0CE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importância para o mercado industrial foco da ação EMBRAPII, </w:t>
      </w:r>
      <w:r w:rsidR="004703F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eventuais certificaçõ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 (INMETRO, ANVISA, etc.), 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out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ros detalhes que caracterizem 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diferencial das instalações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disponíveis para a atuação da Unidade</w:t>
      </w:r>
      <w:r w:rsidR="00BE5EF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ser credenciada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</w:p>
    <w:p w14:paraId="505B8624" w14:textId="6D240EEE" w:rsidR="00F65A44" w:rsidRPr="00346E4B" w:rsidRDefault="00A935E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&lt;Além do acima solicitado,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considerando que projetos EMBRAPII não envolvem aquisição de infraestrutura, discorra brevemente sobre a estratégia (ex. Plano de médio e longo prazo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instrumentos normativos, fo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ntes de recursos, priorização da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áreas foco, etc.) para manter, atualizar e eventualmente aumentar a disponibilidade de infraestrutura de </w:t>
      </w:r>
      <w:proofErr w:type="gramStart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proposta no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credenciamento, delineando assim a estratégia de gestão e manutenção que g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arant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perenidade da Unidade C</w:t>
      </w:r>
      <w:r w:rsidR="006D304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andidata.&gt;</w:t>
      </w:r>
    </w:p>
    <w:p w14:paraId="795DDF4A" w14:textId="0C370B47" w:rsidR="002166AE" w:rsidRPr="00346E4B" w:rsidRDefault="00482D73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62945431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Mecanismos de gestão e coordenação</w:t>
      </w:r>
      <w:bookmarkEnd w:id="17"/>
    </w:p>
    <w:p w14:paraId="5AFA0B30" w14:textId="63E72143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18" w:name="_Toc427153837"/>
      <w:bookmarkEnd w:id="14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4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bookmarkEnd w:id="18"/>
    <w:p w14:paraId="128F3722" w14:textId="3E2D8954" w:rsidR="00BB110F" w:rsidRPr="00346E4B" w:rsidRDefault="00A82AE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o processo de 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desenvolvimento de projetos de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P,D&amp;I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vão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 prospecção das empresas clientes até a entrega dos resultados, passando pela elaboração de propostas, negociação de escopo, negociaçã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financeira, negociação de PI, negociação de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e/ou remuneração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sobre os resultados,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execução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 projeto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alocação de equipe e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infraestrutura, ordenação 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autorização 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despesas,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supervisão e orientação de equipes de pesquisa e de gestão, validação de resultados, entregas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aceite d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empresa contratante, encerramento de atividades </w:t>
      </w:r>
      <w:r w:rsidR="00AA68B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 projeto,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fechamento de contas, discorra brevemente sob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 a 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autonomia decisória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e de gestão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liderada pelo seu responsável nominado no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begin"/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REF _Ref336157193 \r \h </w:instrTex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instrText xml:space="preserve"> \* MERGEFORMAT </w:instrTex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separate"/>
      </w:r>
      <w:r w:rsidR="009A07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ldChar w:fldCharType="end"/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(Informações cadastrais)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realizar o processo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descrito, com destaque para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</w:p>
    <w:p w14:paraId="57FB4000" w14:textId="628FC233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rocessos e instrumentos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utilizados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mencionando eventuais sistemas de gestão adotados (ex. NB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D92DE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16501),</w:t>
      </w:r>
    </w:p>
    <w:p w14:paraId="3FA2209E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erramentas de acompanhamento e controle de projetos (portfólio),</w:t>
      </w:r>
    </w:p>
    <w:p w14:paraId="04673B01" w14:textId="77777777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nstâncias decisórias nas diferentes etapas do processo </w:t>
      </w:r>
      <w:r w:rsidR="00E7347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(ex.: chefias, diretorias, conselhos, assessorias, secretarias, etc.) </w:t>
      </w:r>
    </w:p>
    <w:p w14:paraId="1CD25C64" w14:textId="6312E52A" w:rsidR="00BB110F" w:rsidRPr="00346E4B" w:rsidRDefault="00BB110F" w:rsidP="00346E4B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razos típicos </w:t>
      </w:r>
      <w:r w:rsidR="00591CD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execução deste processo 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segundo histórico da C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(Planilha Excel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Informações Quantitativas 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– experiência em </w:t>
      </w:r>
      <w:proofErr w:type="gramStart"/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proofErr w:type="gramEnd"/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76735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41B1448" w14:textId="4CE25FD0" w:rsidR="00482D73" w:rsidRPr="00346E4B" w:rsidRDefault="0076735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Note-se que o processo descrito presum</w:t>
      </w:r>
      <w:r w:rsidR="00BB11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uma série de papé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 definidos no Sistema de Excelência O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peracional EMBRAPII</w:t>
      </w:r>
      <w:r w:rsidR="00E7347F" w:rsidRPr="00346E4B">
        <w:rPr>
          <w:rStyle w:val="Refdenotaderodap"/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footnoteReference w:id="4"/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são utilizados 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caracterizar a atuação de ca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membro da equipe na Unidade </w:t>
      </w:r>
      <w:proofErr w:type="gramStart"/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941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4D0C4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127B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proofErr w:type="gramEnd"/>
    </w:p>
    <w:p w14:paraId="2AF8798C" w14:textId="29AFB253" w:rsidR="002C484F" w:rsidRPr="00346E4B" w:rsidRDefault="002C484F" w:rsidP="00346E4B">
      <w:pPr>
        <w:pStyle w:val="Ttulo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27153833"/>
      <w:bookmarkStart w:id="20" w:name="_Toc462945432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Gestão da inovação</w:t>
      </w:r>
      <w:bookmarkEnd w:id="19"/>
      <w:r w:rsidR="00482D73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propriedade intelectual</w:t>
      </w:r>
      <w:bookmarkEnd w:id="20"/>
    </w:p>
    <w:p w14:paraId="571D3875" w14:textId="71FC01B7" w:rsidR="00D92DEA" w:rsidRPr="00346E4B" w:rsidRDefault="00D92DEA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2F326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7970C0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C96EF88" w14:textId="5458ECA6" w:rsidR="009A6993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a Política 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Propriedade Intelectual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(PI)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vigente é documento obrigatório ao credenciamento, aqui ela não deve ser reapresentada. Se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necessário, esclarecimentos sobre este it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 serão solicitados à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pela EMBRAPII em momentos oportunos do processo de </w:t>
      </w: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credenciamento.&gt;</w:t>
      </w:r>
      <w:proofErr w:type="gramEnd"/>
    </w:p>
    <w:p w14:paraId="7B7B9032" w14:textId="33B8BDAD" w:rsidR="002C484F" w:rsidRPr="00346E4B" w:rsidRDefault="009A6993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&lt;Neste tópico, discorra brevement</w:t>
      </w:r>
      <w:r w:rsidR="00B705A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sobre as práticas da Unidade C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na formulação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 de Propriedade Intelectual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nos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direitos sobre resultados de </w:t>
      </w:r>
      <w:proofErr w:type="gramStart"/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9B34F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realizados, usando como referência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praticado n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projetos apresentados na planilha Excel</w:t>
      </w:r>
      <w:r w:rsidR="0067611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experiência 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equipe. Destaque deve ser dado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práticas vigentes a partir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 Política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Diretriz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PI apresentada,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flexibilida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de negociação com clientes, à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instâncias decisórias e deliberativas e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prazos tipicamente praticados, incluindo o eventual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envolvimento de grupos </w:t>
      </w:r>
      <w:r w:rsidR="00B053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especializados </w:t>
      </w:r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apoio (ex. </w:t>
      </w:r>
      <w:proofErr w:type="spellStart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NITs</w:t>
      </w:r>
      <w:proofErr w:type="spellEnd"/>
      <w:proofErr w:type="gramStart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proofErr w:type="gramEnd"/>
      <w:r w:rsidR="0058045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36B86375" w14:textId="3336E121" w:rsidR="009A3C06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62945433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Mercado de </w:t>
      </w:r>
      <w:proofErr w:type="gramStart"/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P,D</w:t>
      </w:r>
      <w:proofErr w:type="gramEnd"/>
      <w:r w:rsidR="00454511" w:rsidRPr="00346E4B">
        <w:rPr>
          <w:rFonts w:ascii="Times New Roman" w:hAnsi="Times New Roman" w:cs="Times New Roman"/>
          <w:b/>
          <w:color w:val="auto"/>
          <w:sz w:val="24"/>
          <w:szCs w:val="24"/>
        </w:rPr>
        <w:t>&amp;I</w:t>
      </w:r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área proposta</w:t>
      </w:r>
      <w:bookmarkEnd w:id="21"/>
    </w:p>
    <w:p w14:paraId="757383FA" w14:textId="29E5412F" w:rsidR="009A3C06" w:rsidRPr="00346E4B" w:rsidRDefault="009A3C06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921B25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4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páginas&gt;</w:t>
      </w:r>
    </w:p>
    <w:p w14:paraId="7E63FFDF" w14:textId="36F39A09" w:rsidR="001F061B" w:rsidRPr="00F90ED2" w:rsidRDefault="00814BF8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Mercado (foco da ação EMBRAPII) – a identificação do mercado foco d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proofErr w:type="gram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proofErr w:type="gram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1F061B" w:rsidRPr="00F90ED2" w:rsidDel="004303C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desenvolvido pela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é um dos componentes chave da análise do credenciamento, sendo que os projetos EMBRAPII deverão ser sempre elaborados e executados sob demanda de empresas industriais. O delineamento do mercado foco deve representar o entendimento da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 sobre o seu mercado potencial de </w:t>
      </w:r>
      <w:proofErr w:type="gram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proofErr w:type="gramEnd"/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&amp;I, na sua área de competência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seus potenciais clientes e concorrentes. O mercado deve permitir o reconhecimento do ambiente econômico e das tecnologias a serem atendidas pela Unidade, considerando o perfil das empresas demandantes e dos seus concorrentes. Assim sendo, a análise de mercado deve demonstrar: (i) o mercado de empresas para realização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 almejado, ou seja, quais empresas industriais se pretende atender;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o</w:t>
      </w:r>
      <w:r w:rsidR="00786293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segmentos industriais em que se pretende atuar;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 a relevância da área de competência para a indústria;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iv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a análise de forças e fraquezas da Unidade como provedora de </w:t>
      </w:r>
      <w:r w:rsidR="00454511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indústria; (v) a existência ou não de fornecedores de P</w:t>
      </w:r>
      <w:r w:rsidR="00B113E6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D&amp;I concorrentes na área credenciada; (vi) a estimativa de inserção no mercado foco; (</w:t>
      </w:r>
      <w:proofErr w:type="spellStart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vii</w:t>
      </w:r>
      <w:proofErr w:type="spellEnd"/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 a sustentabilidade prevista para a ação EMBRAPII da Unidade </w:t>
      </w:r>
      <w:r w:rsidR="00B705A7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</w:t>
      </w:r>
      <w:r w:rsidR="001F061B"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(longevidade do mercado, tendências, etc.)</w:t>
      </w:r>
      <w:r w:rsidRPr="00F90E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6CC7BCC" w14:textId="77777777" w:rsidR="00B03BF4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o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mercado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foco da ação EMBRAPII detalhando:</w:t>
      </w:r>
    </w:p>
    <w:p w14:paraId="4BEE0931" w14:textId="6EC7DBD8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industriais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ou grupos de e</w:t>
      </w:r>
      <w:r w:rsidR="00B173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mpresas que se pretende atende</w:t>
      </w:r>
      <w:r w:rsidR="006C3E7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</w:t>
      </w:r>
      <w:r w:rsidR="00B1731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</w:p>
    <w:p w14:paraId="4A23A663" w14:textId="77777777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relevância da área de comp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etência para a indústria,</w:t>
      </w:r>
    </w:p>
    <w:p w14:paraId="65E31EB8" w14:textId="77777777" w:rsidR="006A3767" w:rsidRPr="00346E4B" w:rsidRDefault="006A3767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demandas já diagnosticadas na área de competência do mercado</w:t>
      </w:r>
    </w:p>
    <w:p w14:paraId="551E6E55" w14:textId="77777777" w:rsidR="006A3767" w:rsidRPr="00346E4B" w:rsidRDefault="006A3767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 expectativas de crescimento de investimentos na área de competência e a importância para o crescimento futuro das empresas.</w:t>
      </w:r>
    </w:p>
    <w:p w14:paraId="30489018" w14:textId="13D674A4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forças e fraquezas da Unidade como pr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ovedora de </w:t>
      </w:r>
      <w:proofErr w:type="gramStart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indústria,</w:t>
      </w:r>
    </w:p>
    <w:p w14:paraId="1EECB2E7" w14:textId="7453BC4E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fornecedores de </w:t>
      </w:r>
      <w:proofErr w:type="gramStart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concorrentes na área credenciada 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suas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sublinhas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</w:p>
    <w:p w14:paraId="233C4B9B" w14:textId="0AED377C" w:rsidR="00B03BF4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estimativa de participação no mercado foco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considerando o alcance efetivo da equipe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proponente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ao mercado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baseado no histórico apresentado,</w:t>
      </w:r>
    </w:p>
    <w:p w14:paraId="76CC4892" w14:textId="2358A332" w:rsidR="006A3767" w:rsidRPr="00346E4B" w:rsidRDefault="00B03BF4" w:rsidP="00346E4B">
      <w:pPr>
        <w:pStyle w:val="PargrafodaList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sustentabilidade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(longevidade do mercado, tendências, etc.)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prevista para a ação EMBRAPII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neste mercado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considerando a evolução da demanda de </w:t>
      </w:r>
      <w:proofErr w:type="gramStart"/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na área pleiteada no credenciamento</w:t>
      </w:r>
    </w:p>
    <w:p w14:paraId="5ACC4FFA" w14:textId="4B45E581" w:rsidR="009A3C06" w:rsidRPr="00346E4B" w:rsidRDefault="00B03BF4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Note-se que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</w:t>
      </w:r>
      <w:r w:rsidR="006F63A3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enuncia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 entendimento da equipe proponente sobre </w:t>
      </w:r>
      <w:r w:rsidR="009A3C0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mercado 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qual se pretende atuar como Unidade EMBRAPII credenciada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 por isso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análise de mercado na área proposta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 se concentrar no mercado 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PD&amp;I </w:t>
      </w:r>
      <w:r w:rsidR="00FB2A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potencialm</w:t>
      </w:r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ente alcançável pela Unidade </w:t>
      </w:r>
      <w:proofErr w:type="gramStart"/>
      <w:r w:rsidR="002E40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candidata</w:t>
      </w:r>
      <w:r w:rsidR="005D4E8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.&gt;</w:t>
      </w:r>
      <w:proofErr w:type="gramEnd"/>
    </w:p>
    <w:p w14:paraId="5DB35B6C" w14:textId="05B11D19" w:rsidR="00C525EB" w:rsidRPr="00346E4B" w:rsidRDefault="009A3C06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462945434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Estratégia de</w:t>
      </w:r>
      <w:r w:rsidR="00C525EB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captação de projetos</w:t>
      </w:r>
      <w:bookmarkEnd w:id="22"/>
    </w:p>
    <w:p w14:paraId="621EDD61" w14:textId="3F33C177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3</w:t>
      </w:r>
      <w:r w:rsidR="0012217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22174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8C545A2" w14:textId="3592CE1E" w:rsidR="00E3062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23" w:name="_Toc427153839"/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&lt;Discorra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sobre a estratégia da equipe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prospecção de parcerias com empresas do setor industrial</w:t>
      </w:r>
      <w:bookmarkEnd w:id="23"/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de credenciamento. 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Detalhar o planejamento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a busca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novas oportunidades de parceria</w:t>
      </w:r>
      <w:r w:rsidR="0078629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(visitas, eventos, e outras formas de prospecção de parcerias)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considerando que a atividade da Unidade EMBRAPII não pode ser direcionada para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</w:t>
      </w:r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única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específica ou grupo industrial, tampouco restrita 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localmente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Discuta </w:t>
      </w:r>
      <w:r w:rsidR="003245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 a Unidade C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 está estruturada para a prospecção de parce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rias com empresas em termos de recursos h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umano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qualificados, prá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ticas e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ferramentas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utilizadas</w:t>
      </w:r>
      <w:r w:rsidR="00E3062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Está estratégia deve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ser coerente com a análise de mercado do item 5</w:t>
      </w:r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9D366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41F8AE2C" w:rsidR="00C525EB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62945435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Financiamento da ação EMBRAPII</w:t>
      </w:r>
      <w:bookmarkEnd w:id="24"/>
    </w:p>
    <w:p w14:paraId="7FF66343" w14:textId="00C83569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E543B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72D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C679530" w14:textId="10B53922" w:rsidR="00593A10" w:rsidRPr="00346E4B" w:rsidRDefault="00593A10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&lt;Considerando</w:t>
      </w:r>
      <w:proofErr w:type="gramEnd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o planejamento econômico-financeiro é apresentado na 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acompanha a documentação obrigatória ao credenciamento, aqui ele não deve </w:t>
      </w:r>
      <w:r w:rsidR="0007589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reproduzido. A tabela do Excel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será transcrita para este tópico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após o término do processo de seleção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mediante orientações da EMBRAPII sobre eventuais ajustes na informação </w:t>
      </w:r>
      <w:proofErr w:type="gramStart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apresentada.&gt;</w:t>
      </w:r>
      <w:proofErr w:type="gramEnd"/>
    </w:p>
    <w:p w14:paraId="2A4AFA6D" w14:textId="0E8915C0" w:rsidR="005C5AB1" w:rsidRPr="00750888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Neste tópico, ana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lise comparativamente o volume total de recursos previsto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593A10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credenciamento (fontes EMBRAPII, Empresas e Unidade –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contrapartida) com aquele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mobilizado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 histórico de </w:t>
      </w:r>
      <w:proofErr w:type="gramStart"/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3038A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&amp;I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apresentado (planilha Excel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– Informações Quantitativas -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), ponderando o </w:t>
      </w:r>
      <w:r w:rsidR="007F179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valor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médio dos projetos realizados e a realizar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do tamanho da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equipe responsável pela execução dos projetos nos prazos estabelecidos. Nesta análise, pode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 considerar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um incremento exequível de recursos em relação ao h</w:t>
      </w:r>
      <w:r w:rsidR="009E2C7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istórico de atuação da Unidade C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andidata, na área de competência, porém deve-se ponderar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também 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 demais aspectos discutidos neste plano (área</w:t>
      </w:r>
      <w:r w:rsidR="00805946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credenciamento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mercado, equipe, infraestrutura, prazos, gestão, etc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66C3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Destaque especial deve ser dado para a 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obrigatória de contrapartida econôm</w:t>
      </w:r>
      <w:r w:rsidR="009E2C76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ica ou financeira pela Unidade C</w:t>
      </w:r>
      <w:r w:rsidR="00F66C3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andidata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conforme regras estabelecidas pela EMBRAPII</w:t>
      </w:r>
      <w:r w:rsidR="004F66A9" w:rsidRPr="007F179A">
        <w:rPr>
          <w:color w:val="808080" w:themeColor="background1" w:themeShade="80"/>
          <w:vertAlign w:val="superscript"/>
        </w:rPr>
        <w:footnoteReference w:id="5"/>
      </w:r>
      <w:r w:rsidR="004F66A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Além disso, a análise comparativa deve considerar que os recursos da EMBRAPII são 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destinados exclusivamente para custeio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enquanto os projetos </w:t>
      </w:r>
      <w:r w:rsidR="00E347D2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demonstrados n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histórico podem ter envolvido outros gastos (montagem de infraestrutura, capacitação de equipe, etc.)</w:t>
      </w:r>
      <w:r w:rsidR="0092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demanda por recursos tem que ser compatível com o papel da Unidade no mercado e com as metas que </w:t>
      </w:r>
      <w:r w:rsidR="00090A9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serão </w:t>
      </w:r>
      <w:r w:rsidR="00921B25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pactuadas</w:t>
      </w:r>
      <w:r w:rsidR="00C1698B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90ED2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no ato do credenciamento</w:t>
      </w:r>
      <w:r w:rsidR="004F66A9" w:rsidRPr="0075088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77777777" w:rsidR="000A5FB2" w:rsidRPr="00346E4B" w:rsidRDefault="000A5FB2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462945436"/>
      <w:r w:rsidRPr="00346E4B">
        <w:rPr>
          <w:rFonts w:ascii="Times New Roman" w:hAnsi="Times New Roman" w:cs="Times New Roman"/>
          <w:b/>
          <w:color w:val="auto"/>
          <w:sz w:val="24"/>
          <w:szCs w:val="24"/>
        </w:rPr>
        <w:t>Resultados esperados com o credenciamento</w:t>
      </w:r>
      <w:bookmarkEnd w:id="25"/>
    </w:p>
    <w:p w14:paraId="1375A294" w14:textId="454B6972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D05794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2</w:t>
      </w:r>
      <w:r w:rsidR="005B43F9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="00921A0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42005BA" w14:textId="3C142D55" w:rsidR="007B1C85" w:rsidRPr="00346E4B" w:rsidRDefault="005C5AB1" w:rsidP="00090A9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Discorra resumidamente sobre os impactos esperados do cred</w:t>
      </w:r>
      <w:r w:rsidR="00FE340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enciamento EMBRAPII na Unidade C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andidata, seja em termos de aumento de negócios, aprimoramento do </w:t>
      </w:r>
      <w:proofErr w:type="gramStart"/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</w:t>
      </w:r>
      <w:proofErr w:type="gramEnd"/>
      <w:r w:rsidR="00AE6C8C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desenvolvido, ampliação de mercado, profissionalização de atividades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,D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&amp;</w:t>
      </w:r>
      <w:r w:rsidR="00A655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profissionalização na gestão do desenvolvimento de </w:t>
      </w:r>
      <w:r w:rsidR="0045451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P,D&amp;I</w:t>
      </w:r>
      <w:r w:rsidR="00E974AA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 qualquer outro aspecto relevante dentro da estratégia da Instituição proponente, conforme tópico </w:t>
      </w:r>
      <w:r w:rsidR="00A4170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3</w:t>
      </w:r>
      <w:r w:rsidR="005B43F9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deste Plano de Ação.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E7697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sectPr w:rsidR="007B1C85" w:rsidRPr="00346E4B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CE258" w14:textId="77777777" w:rsidR="00D01CAE" w:rsidRDefault="00D01CAE" w:rsidP="002C484F">
      <w:pPr>
        <w:spacing w:after="0" w:line="240" w:lineRule="auto"/>
      </w:pPr>
      <w:r>
        <w:separator/>
      </w:r>
    </w:p>
  </w:endnote>
  <w:endnote w:type="continuationSeparator" w:id="0">
    <w:p w14:paraId="39BD848F" w14:textId="77777777" w:rsidR="00D01CAE" w:rsidRDefault="00D01CAE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FB2ACD" w:rsidRDefault="00FB2A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D4D">
          <w:rPr>
            <w:noProof/>
          </w:rPr>
          <w:t>6</w:t>
        </w:r>
        <w:r>
          <w:fldChar w:fldCharType="end"/>
        </w:r>
      </w:p>
    </w:sdtContent>
  </w:sdt>
  <w:p w14:paraId="59848713" w14:textId="66C9E074" w:rsidR="00FB2ACD" w:rsidRDefault="00FB2ACD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892A" w14:textId="77777777" w:rsidR="00D01CAE" w:rsidRDefault="00D01CAE" w:rsidP="002C484F">
      <w:pPr>
        <w:spacing w:after="0" w:line="240" w:lineRule="auto"/>
      </w:pPr>
      <w:r>
        <w:separator/>
      </w:r>
    </w:p>
  </w:footnote>
  <w:footnote w:type="continuationSeparator" w:id="0">
    <w:p w14:paraId="26E17590" w14:textId="77777777" w:rsidR="00D01CAE" w:rsidRDefault="00D01CAE" w:rsidP="002C484F">
      <w:pPr>
        <w:spacing w:after="0" w:line="240" w:lineRule="auto"/>
      </w:pPr>
      <w:r>
        <w:continuationSeparator/>
      </w:r>
    </w:p>
  </w:footnote>
  <w:footnote w:id="1">
    <w:p w14:paraId="7E5133F4" w14:textId="7DAAA8C0" w:rsidR="00FB2ACD" w:rsidRPr="009A07D2" w:rsidRDefault="00FB2ACD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Não remover estas instruções após elaborar do Plano de Ação.</w:t>
      </w:r>
    </w:p>
  </w:footnote>
  <w:footnote w:id="2">
    <w:p w14:paraId="04585EB1" w14:textId="77777777" w:rsidR="00FB2ACD" w:rsidRPr="009A07D2" w:rsidRDefault="00FB2ACD" w:rsidP="00F33F11">
      <w:pPr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Não serão consideradas áreas de competência: setores industriais (ex. Petróleo e Gás, </w:t>
      </w:r>
      <w:proofErr w:type="spellStart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TICs</w:t>
      </w:r>
      <w:proofErr w:type="spellEnd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, </w:t>
      </w:r>
      <w:proofErr w:type="gramStart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Automotivo</w:t>
      </w:r>
      <w:proofErr w:type="gramEnd"/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, etc.), grandes temas (ex. Biotecnologia, Química, Materiais, Energia, etc.) ou políticas (ex. Políticas de C&amp;T).</w:t>
      </w:r>
    </w:p>
  </w:footnote>
  <w:footnote w:id="3">
    <w:p w14:paraId="0B4DE449" w14:textId="1D761A3B" w:rsidR="00FB2ACD" w:rsidRPr="008F0300" w:rsidRDefault="00FB2ACD" w:rsidP="002C484F">
      <w:pPr>
        <w:pStyle w:val="Textodenotaderodap"/>
        <w:jc w:val="both"/>
        <w:rPr>
          <w:color w:val="808080" w:themeColor="background1" w:themeShade="80"/>
        </w:rPr>
      </w:pPr>
      <w:r w:rsidRPr="009A07D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9A07D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Baseado na definição de Unidade EMBRAPII trazida pela Chamada</w:t>
      </w:r>
      <w: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</w:t>
      </w:r>
    </w:p>
  </w:footnote>
  <w:footnote w:id="4">
    <w:p w14:paraId="56AFFF18" w14:textId="157583A0" w:rsidR="00FB2ACD" w:rsidRPr="00BC0EB4" w:rsidRDefault="00FB2ACD" w:rsidP="00E7347F">
      <w:pPr>
        <w:pStyle w:val="Textodenotaderodap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BC0EB4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BC0EB4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Para referência a candidata poderá consultar o Sistema de Excelência Operacional EMBRAPII disponível em http://embrapii.org.br/sistema-de-excelencia-operacional-embrapii/.</w:t>
      </w:r>
    </w:p>
  </w:footnote>
  <w:footnote w:id="5">
    <w:p w14:paraId="48AECD28" w14:textId="70572EE7" w:rsidR="00FB2ACD" w:rsidRPr="008D7402" w:rsidRDefault="00FB2ACD">
      <w:pPr>
        <w:pStyle w:val="Textodenotaderodap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8D7402">
        <w:rPr>
          <w:rStyle w:val="Refdenotaderodap"/>
          <w:rFonts w:ascii="Times New Roman" w:hAnsi="Times New Roman" w:cs="Times New Roman"/>
          <w:color w:val="808080" w:themeColor="background1" w:themeShade="80"/>
          <w:sz w:val="16"/>
          <w:szCs w:val="16"/>
        </w:rPr>
        <w:footnoteRef/>
      </w:r>
      <w:r w:rsidRPr="008D7402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 Vide formulação de contrapartida econômica no Manual de Operação das Unidades EMBRAPII, disponível em http://embrapii.org.br/manual-das-unidades-embrapii/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24081" w14:textId="77777777" w:rsidR="00FB2ACD" w:rsidRDefault="00FB2ACD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eastAsia="pt-BR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4DC5" w14:textId="263B6504" w:rsidR="00FB2ACD" w:rsidRDefault="00FB2ACD">
    <w:pPr>
      <w:pStyle w:val="Cabealho"/>
    </w:pPr>
    <w:r w:rsidRPr="00664215">
      <w:rPr>
        <w:rFonts w:cs="Arial"/>
        <w:noProof/>
        <w:lang w:eastAsia="pt-BR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4F"/>
    <w:rsid w:val="00012F61"/>
    <w:rsid w:val="00013F75"/>
    <w:rsid w:val="00014A84"/>
    <w:rsid w:val="000362A4"/>
    <w:rsid w:val="00043C6C"/>
    <w:rsid w:val="00051700"/>
    <w:rsid w:val="00054054"/>
    <w:rsid w:val="000709DD"/>
    <w:rsid w:val="00075899"/>
    <w:rsid w:val="00077268"/>
    <w:rsid w:val="0008215F"/>
    <w:rsid w:val="0008397D"/>
    <w:rsid w:val="00086B2E"/>
    <w:rsid w:val="00090A98"/>
    <w:rsid w:val="0009423D"/>
    <w:rsid w:val="00097959"/>
    <w:rsid w:val="000A5FB2"/>
    <w:rsid w:val="000B1E9F"/>
    <w:rsid w:val="000B24A5"/>
    <w:rsid w:val="000B29A5"/>
    <w:rsid w:val="000B7E6C"/>
    <w:rsid w:val="000C14B6"/>
    <w:rsid w:val="000C4C89"/>
    <w:rsid w:val="000D216B"/>
    <w:rsid w:val="000D21ED"/>
    <w:rsid w:val="000D3EFA"/>
    <w:rsid w:val="000D49E1"/>
    <w:rsid w:val="000D55C0"/>
    <w:rsid w:val="000E3B14"/>
    <w:rsid w:val="000E6367"/>
    <w:rsid w:val="000F6708"/>
    <w:rsid w:val="00102145"/>
    <w:rsid w:val="0010631B"/>
    <w:rsid w:val="00110282"/>
    <w:rsid w:val="001130F1"/>
    <w:rsid w:val="001176DB"/>
    <w:rsid w:val="001176F9"/>
    <w:rsid w:val="00122174"/>
    <w:rsid w:val="00125002"/>
    <w:rsid w:val="00125588"/>
    <w:rsid w:val="00133A96"/>
    <w:rsid w:val="001347BA"/>
    <w:rsid w:val="0013527D"/>
    <w:rsid w:val="001363A4"/>
    <w:rsid w:val="00143019"/>
    <w:rsid w:val="0014464A"/>
    <w:rsid w:val="001623FB"/>
    <w:rsid w:val="001859F0"/>
    <w:rsid w:val="0019218B"/>
    <w:rsid w:val="001A76DC"/>
    <w:rsid w:val="001B79CF"/>
    <w:rsid w:val="001C4583"/>
    <w:rsid w:val="001D5889"/>
    <w:rsid w:val="001E10F7"/>
    <w:rsid w:val="001F061B"/>
    <w:rsid w:val="001F1CF2"/>
    <w:rsid w:val="001F6B3E"/>
    <w:rsid w:val="001F7637"/>
    <w:rsid w:val="002077BB"/>
    <w:rsid w:val="00210863"/>
    <w:rsid w:val="002110BF"/>
    <w:rsid w:val="00212656"/>
    <w:rsid w:val="002166AE"/>
    <w:rsid w:val="00221C99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84327"/>
    <w:rsid w:val="00286E23"/>
    <w:rsid w:val="0028733C"/>
    <w:rsid w:val="0029342B"/>
    <w:rsid w:val="00294B2D"/>
    <w:rsid w:val="00294D64"/>
    <w:rsid w:val="002A0CE9"/>
    <w:rsid w:val="002A16D7"/>
    <w:rsid w:val="002A30DA"/>
    <w:rsid w:val="002A49D5"/>
    <w:rsid w:val="002A5FC2"/>
    <w:rsid w:val="002B54ED"/>
    <w:rsid w:val="002C3FDD"/>
    <w:rsid w:val="002C484F"/>
    <w:rsid w:val="002C5C22"/>
    <w:rsid w:val="002C643B"/>
    <w:rsid w:val="002C6892"/>
    <w:rsid w:val="002D0E7A"/>
    <w:rsid w:val="002D290C"/>
    <w:rsid w:val="002D644A"/>
    <w:rsid w:val="002D6B67"/>
    <w:rsid w:val="002D72F8"/>
    <w:rsid w:val="002E031F"/>
    <w:rsid w:val="002E1B5F"/>
    <w:rsid w:val="002E3880"/>
    <w:rsid w:val="002E4029"/>
    <w:rsid w:val="002E718E"/>
    <w:rsid w:val="002F1899"/>
    <w:rsid w:val="002F3269"/>
    <w:rsid w:val="002F5FD2"/>
    <w:rsid w:val="0030335D"/>
    <w:rsid w:val="003038AD"/>
    <w:rsid w:val="00306D09"/>
    <w:rsid w:val="003127B9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76B2"/>
    <w:rsid w:val="00366B53"/>
    <w:rsid w:val="00395DE4"/>
    <w:rsid w:val="00396BE5"/>
    <w:rsid w:val="003A4702"/>
    <w:rsid w:val="003B0F36"/>
    <w:rsid w:val="003B21F3"/>
    <w:rsid w:val="003C1A2C"/>
    <w:rsid w:val="003C6115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511"/>
    <w:rsid w:val="00455488"/>
    <w:rsid w:val="00460F38"/>
    <w:rsid w:val="00462D3C"/>
    <w:rsid w:val="00463946"/>
    <w:rsid w:val="004703F1"/>
    <w:rsid w:val="0047116B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92225"/>
    <w:rsid w:val="00492770"/>
    <w:rsid w:val="004A159A"/>
    <w:rsid w:val="004B40C2"/>
    <w:rsid w:val="004B76D7"/>
    <w:rsid w:val="004B7F23"/>
    <w:rsid w:val="004D0C4C"/>
    <w:rsid w:val="004D2733"/>
    <w:rsid w:val="004E1278"/>
    <w:rsid w:val="004E29ED"/>
    <w:rsid w:val="004E2A1D"/>
    <w:rsid w:val="004E57A0"/>
    <w:rsid w:val="004F66A9"/>
    <w:rsid w:val="005036EF"/>
    <w:rsid w:val="00504B6D"/>
    <w:rsid w:val="0051240F"/>
    <w:rsid w:val="00512F3A"/>
    <w:rsid w:val="00514ED3"/>
    <w:rsid w:val="0051771D"/>
    <w:rsid w:val="00524962"/>
    <w:rsid w:val="005351CF"/>
    <w:rsid w:val="00545C04"/>
    <w:rsid w:val="00557C0A"/>
    <w:rsid w:val="0056581B"/>
    <w:rsid w:val="005717AB"/>
    <w:rsid w:val="00571E65"/>
    <w:rsid w:val="005746CD"/>
    <w:rsid w:val="00575D1E"/>
    <w:rsid w:val="00580455"/>
    <w:rsid w:val="00580EE2"/>
    <w:rsid w:val="00587A92"/>
    <w:rsid w:val="00591CDC"/>
    <w:rsid w:val="00593A10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97C"/>
    <w:rsid w:val="005D300B"/>
    <w:rsid w:val="005D4E8A"/>
    <w:rsid w:val="005E273B"/>
    <w:rsid w:val="005E2F38"/>
    <w:rsid w:val="005E774B"/>
    <w:rsid w:val="005F404B"/>
    <w:rsid w:val="005F51C7"/>
    <w:rsid w:val="005F67CE"/>
    <w:rsid w:val="00617CD7"/>
    <w:rsid w:val="00620D08"/>
    <w:rsid w:val="00631251"/>
    <w:rsid w:val="00635F68"/>
    <w:rsid w:val="006544D3"/>
    <w:rsid w:val="00660A03"/>
    <w:rsid w:val="00663B4F"/>
    <w:rsid w:val="00676115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C3E72"/>
    <w:rsid w:val="006D3047"/>
    <w:rsid w:val="006D37EF"/>
    <w:rsid w:val="006D53BB"/>
    <w:rsid w:val="006E177C"/>
    <w:rsid w:val="006E1A9F"/>
    <w:rsid w:val="006F2FFE"/>
    <w:rsid w:val="006F53CA"/>
    <w:rsid w:val="006F63A3"/>
    <w:rsid w:val="006F796C"/>
    <w:rsid w:val="007067F4"/>
    <w:rsid w:val="007138BB"/>
    <w:rsid w:val="00713DFF"/>
    <w:rsid w:val="007203B4"/>
    <w:rsid w:val="007262FE"/>
    <w:rsid w:val="0073641A"/>
    <w:rsid w:val="00750888"/>
    <w:rsid w:val="0076702E"/>
    <w:rsid w:val="00767351"/>
    <w:rsid w:val="00770C57"/>
    <w:rsid w:val="00773237"/>
    <w:rsid w:val="00774274"/>
    <w:rsid w:val="00774C3D"/>
    <w:rsid w:val="00783A16"/>
    <w:rsid w:val="00786293"/>
    <w:rsid w:val="007970C0"/>
    <w:rsid w:val="007A1D76"/>
    <w:rsid w:val="007A2DA9"/>
    <w:rsid w:val="007A3CA6"/>
    <w:rsid w:val="007A4EE1"/>
    <w:rsid w:val="007A692A"/>
    <w:rsid w:val="007A749E"/>
    <w:rsid w:val="007A7769"/>
    <w:rsid w:val="007B1C85"/>
    <w:rsid w:val="007B479A"/>
    <w:rsid w:val="007B5EFE"/>
    <w:rsid w:val="007C4041"/>
    <w:rsid w:val="007D4F52"/>
    <w:rsid w:val="007E2842"/>
    <w:rsid w:val="007F179A"/>
    <w:rsid w:val="007F4165"/>
    <w:rsid w:val="007F5AE6"/>
    <w:rsid w:val="008020BF"/>
    <w:rsid w:val="00805946"/>
    <w:rsid w:val="00814BF8"/>
    <w:rsid w:val="008213A0"/>
    <w:rsid w:val="0083279D"/>
    <w:rsid w:val="0083372C"/>
    <w:rsid w:val="0084103F"/>
    <w:rsid w:val="008461F7"/>
    <w:rsid w:val="008466B2"/>
    <w:rsid w:val="0085502E"/>
    <w:rsid w:val="00863860"/>
    <w:rsid w:val="008643D9"/>
    <w:rsid w:val="008716B3"/>
    <w:rsid w:val="008819B7"/>
    <w:rsid w:val="008831C7"/>
    <w:rsid w:val="008A0968"/>
    <w:rsid w:val="008A370D"/>
    <w:rsid w:val="008A7B71"/>
    <w:rsid w:val="008B63BD"/>
    <w:rsid w:val="008C2092"/>
    <w:rsid w:val="008D2E84"/>
    <w:rsid w:val="008D7402"/>
    <w:rsid w:val="008E0F1C"/>
    <w:rsid w:val="008F0300"/>
    <w:rsid w:val="008F6DCF"/>
    <w:rsid w:val="008F7C83"/>
    <w:rsid w:val="00901BAC"/>
    <w:rsid w:val="009033CF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A07D2"/>
    <w:rsid w:val="009A3303"/>
    <w:rsid w:val="009A3C06"/>
    <w:rsid w:val="009A6993"/>
    <w:rsid w:val="009B34F7"/>
    <w:rsid w:val="009C1ADD"/>
    <w:rsid w:val="009C4387"/>
    <w:rsid w:val="009C7CF3"/>
    <w:rsid w:val="009D366B"/>
    <w:rsid w:val="009D431F"/>
    <w:rsid w:val="009D74DC"/>
    <w:rsid w:val="009E2C76"/>
    <w:rsid w:val="009F0319"/>
    <w:rsid w:val="009F53D8"/>
    <w:rsid w:val="00A02841"/>
    <w:rsid w:val="00A038ED"/>
    <w:rsid w:val="00A061E8"/>
    <w:rsid w:val="00A0718E"/>
    <w:rsid w:val="00A07300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80B16"/>
    <w:rsid w:val="00A82AE8"/>
    <w:rsid w:val="00A912D1"/>
    <w:rsid w:val="00A935E6"/>
    <w:rsid w:val="00A93845"/>
    <w:rsid w:val="00A97E04"/>
    <w:rsid w:val="00AA077D"/>
    <w:rsid w:val="00AA3CAE"/>
    <w:rsid w:val="00AA3F81"/>
    <w:rsid w:val="00AA68BB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6525"/>
    <w:rsid w:val="00B2664B"/>
    <w:rsid w:val="00B36582"/>
    <w:rsid w:val="00B36888"/>
    <w:rsid w:val="00B4103C"/>
    <w:rsid w:val="00B45334"/>
    <w:rsid w:val="00B47F21"/>
    <w:rsid w:val="00B50030"/>
    <w:rsid w:val="00B53341"/>
    <w:rsid w:val="00B53B05"/>
    <w:rsid w:val="00B6652C"/>
    <w:rsid w:val="00B67085"/>
    <w:rsid w:val="00B705A7"/>
    <w:rsid w:val="00B77622"/>
    <w:rsid w:val="00B87686"/>
    <w:rsid w:val="00B95D93"/>
    <w:rsid w:val="00BB110F"/>
    <w:rsid w:val="00BB181E"/>
    <w:rsid w:val="00BB4222"/>
    <w:rsid w:val="00BB6FB6"/>
    <w:rsid w:val="00BC0EB4"/>
    <w:rsid w:val="00BC4271"/>
    <w:rsid w:val="00BE086E"/>
    <w:rsid w:val="00BE5EF4"/>
    <w:rsid w:val="00BF738C"/>
    <w:rsid w:val="00C0198D"/>
    <w:rsid w:val="00C03423"/>
    <w:rsid w:val="00C03A1D"/>
    <w:rsid w:val="00C06B8A"/>
    <w:rsid w:val="00C06C4F"/>
    <w:rsid w:val="00C13563"/>
    <w:rsid w:val="00C1698B"/>
    <w:rsid w:val="00C26B0B"/>
    <w:rsid w:val="00C31641"/>
    <w:rsid w:val="00C3563C"/>
    <w:rsid w:val="00C525EB"/>
    <w:rsid w:val="00C67C02"/>
    <w:rsid w:val="00C75186"/>
    <w:rsid w:val="00C83E64"/>
    <w:rsid w:val="00C906BA"/>
    <w:rsid w:val="00C91B12"/>
    <w:rsid w:val="00CC14DE"/>
    <w:rsid w:val="00CC4FC0"/>
    <w:rsid w:val="00CD66EF"/>
    <w:rsid w:val="00CE54D3"/>
    <w:rsid w:val="00CF0DFA"/>
    <w:rsid w:val="00CF1B25"/>
    <w:rsid w:val="00D013FB"/>
    <w:rsid w:val="00D01CAE"/>
    <w:rsid w:val="00D0452C"/>
    <w:rsid w:val="00D04F53"/>
    <w:rsid w:val="00D05794"/>
    <w:rsid w:val="00D11229"/>
    <w:rsid w:val="00D1217E"/>
    <w:rsid w:val="00D13BD4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391C"/>
    <w:rsid w:val="00D87D4D"/>
    <w:rsid w:val="00D91B38"/>
    <w:rsid w:val="00D92DEA"/>
    <w:rsid w:val="00D97DC3"/>
    <w:rsid w:val="00DA19A0"/>
    <w:rsid w:val="00DA1FCF"/>
    <w:rsid w:val="00DA5A25"/>
    <w:rsid w:val="00DA7428"/>
    <w:rsid w:val="00DB299B"/>
    <w:rsid w:val="00DB5194"/>
    <w:rsid w:val="00DC7A9D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1181E"/>
    <w:rsid w:val="00E22B6D"/>
    <w:rsid w:val="00E22DC7"/>
    <w:rsid w:val="00E30621"/>
    <w:rsid w:val="00E308B3"/>
    <w:rsid w:val="00E34537"/>
    <w:rsid w:val="00E347D2"/>
    <w:rsid w:val="00E46707"/>
    <w:rsid w:val="00E52FF8"/>
    <w:rsid w:val="00E543B6"/>
    <w:rsid w:val="00E66ECE"/>
    <w:rsid w:val="00E67CA9"/>
    <w:rsid w:val="00E7347F"/>
    <w:rsid w:val="00E76971"/>
    <w:rsid w:val="00E82923"/>
    <w:rsid w:val="00E974AA"/>
    <w:rsid w:val="00EA1CF5"/>
    <w:rsid w:val="00EA219A"/>
    <w:rsid w:val="00EA4092"/>
    <w:rsid w:val="00EA7540"/>
    <w:rsid w:val="00EE13A6"/>
    <w:rsid w:val="00EF57F8"/>
    <w:rsid w:val="00EF70B1"/>
    <w:rsid w:val="00F04880"/>
    <w:rsid w:val="00F05653"/>
    <w:rsid w:val="00F103E9"/>
    <w:rsid w:val="00F10DF4"/>
    <w:rsid w:val="00F2154E"/>
    <w:rsid w:val="00F216AC"/>
    <w:rsid w:val="00F2410E"/>
    <w:rsid w:val="00F30E20"/>
    <w:rsid w:val="00F31FB7"/>
    <w:rsid w:val="00F32A49"/>
    <w:rsid w:val="00F3329B"/>
    <w:rsid w:val="00F33F11"/>
    <w:rsid w:val="00F36D90"/>
    <w:rsid w:val="00F536A3"/>
    <w:rsid w:val="00F53E59"/>
    <w:rsid w:val="00F6266C"/>
    <w:rsid w:val="00F6408F"/>
    <w:rsid w:val="00F65A44"/>
    <w:rsid w:val="00F66C39"/>
    <w:rsid w:val="00F71228"/>
    <w:rsid w:val="00F903B7"/>
    <w:rsid w:val="00F90ED2"/>
    <w:rsid w:val="00F925FE"/>
    <w:rsid w:val="00FA04D7"/>
    <w:rsid w:val="00FA1B7D"/>
    <w:rsid w:val="00FA3E30"/>
    <w:rsid w:val="00FB2ACD"/>
    <w:rsid w:val="00FB354D"/>
    <w:rsid w:val="00FB46F1"/>
    <w:rsid w:val="00FB5550"/>
    <w:rsid w:val="00FC13FD"/>
    <w:rsid w:val="00FC34ED"/>
    <w:rsid w:val="00FD1D65"/>
    <w:rsid w:val="00FD6F5C"/>
    <w:rsid w:val="00FE0A5A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085DCF27-DFBF-470B-AB88-4302E0A2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E7D1-DC84-4AA6-B5D8-EF5822A9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2959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Allan Pereira</cp:lastModifiedBy>
  <cp:revision>2</cp:revision>
  <cp:lastPrinted>2016-09-29T14:38:00Z</cp:lastPrinted>
  <dcterms:created xsi:type="dcterms:W3CDTF">2017-03-15T16:25:00Z</dcterms:created>
  <dcterms:modified xsi:type="dcterms:W3CDTF">2017-03-15T16:25:00Z</dcterms:modified>
</cp:coreProperties>
</file>